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4086B612"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797853">
              <w:rPr>
                <w:b/>
                <w:bCs/>
                <w:sz w:val="24"/>
                <w:szCs w:val="24"/>
              </w:rPr>
              <w:t xml:space="preserve"> UTIC</w:t>
            </w:r>
          </w:p>
        </w:tc>
      </w:tr>
      <w:tr w:rsidR="00D96A20" w:rsidRPr="00EA6617" w14:paraId="5DA5C4F5" w14:textId="3A8C7309" w:rsidTr="00D96A20">
        <w:tc>
          <w:tcPr>
            <w:tcW w:w="9067" w:type="dxa"/>
          </w:tcPr>
          <w:p w14:paraId="3925FA7C" w14:textId="0DD038F9"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797853">
              <w:rPr>
                <w:b/>
                <w:bCs/>
                <w:sz w:val="24"/>
                <w:szCs w:val="24"/>
              </w:rPr>
              <w:t>Caroline Cristina Santos</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3BC2BBB9" w14:textId="2CE7C033" w:rsidR="00DC3736" w:rsidRPr="00DC3736" w:rsidRDefault="00FA14FB" w:rsidP="00DC3736">
            <w:pPr>
              <w:pStyle w:val="PargrafodaLista"/>
              <w:tabs>
                <w:tab w:val="left" w:pos="320"/>
              </w:tabs>
              <w:spacing w:after="0" w:line="240" w:lineRule="auto"/>
              <w:ind w:left="22" w:firstLine="0"/>
              <w:rPr>
                <w:sz w:val="24"/>
                <w:szCs w:val="24"/>
              </w:rPr>
            </w:pPr>
            <w:r w:rsidRPr="00FA14FB">
              <w:rPr>
                <w:sz w:val="24"/>
                <w:szCs w:val="24"/>
              </w:rPr>
              <w:t>Contratação de solução hiperconvergente de processamento, armazenamento, virtualização e rede de dados com serviços de instalação, configuração, testes, ativação, operação, garantia e suporte técnico, conforme condições e especificações estabelecidas neste documento, baseado na Ata de Registro de Preços 03/2024, Pregão Eletrônico SRP nº 26/2023 – Sebrae Nacional e Processo Nº 2023/NA/060.</w:t>
            </w:r>
          </w:p>
          <w:p w14:paraId="2D577895" w14:textId="4B34223E" w:rsidR="00A25F86" w:rsidRPr="00EA6617" w:rsidRDefault="00A25F86" w:rsidP="00DC3736">
            <w:pPr>
              <w:pStyle w:val="PargrafodaLista"/>
              <w:tabs>
                <w:tab w:val="left" w:pos="320"/>
              </w:tabs>
              <w:spacing w:after="0" w:line="240" w:lineRule="auto"/>
              <w:ind w:left="22"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10B95619" w14:textId="77777777" w:rsidR="00DC3736" w:rsidRPr="00DC3736" w:rsidRDefault="00DC3736" w:rsidP="00DC3736">
            <w:pPr>
              <w:pStyle w:val="PargrafodaLista"/>
              <w:tabs>
                <w:tab w:val="left" w:pos="320"/>
              </w:tabs>
              <w:spacing w:after="0" w:line="240" w:lineRule="auto"/>
              <w:ind w:left="22" w:firstLine="0"/>
              <w:rPr>
                <w:sz w:val="24"/>
                <w:szCs w:val="24"/>
              </w:rPr>
            </w:pPr>
            <w:r w:rsidRPr="00DC3736">
              <w:rPr>
                <w:sz w:val="24"/>
                <w:szCs w:val="24"/>
              </w:rPr>
              <w:t>Esta solicitação tem como objetivo justificar a adesão à Ata de Registro de Preços do Sebrae Nacional, que visa à aquisição de uma solução hiperconvergente. A adesão é uma etapa importante para a modernização da infraestrutura de Tecnologia da Informação (TI) do Sebrae em Rondônia, alinhando-se aos objetivos estratégicos estabelecidos no planejamento do PPA 2024 e ao projeto Conect Tech.</w:t>
            </w:r>
          </w:p>
          <w:p w14:paraId="3128ACBD" w14:textId="77777777" w:rsidR="00DC3736" w:rsidRPr="00DC3736" w:rsidRDefault="00DC3736" w:rsidP="00DC3736">
            <w:pPr>
              <w:pStyle w:val="PargrafodaLista"/>
              <w:tabs>
                <w:tab w:val="left" w:pos="320"/>
              </w:tabs>
              <w:spacing w:after="0" w:line="240" w:lineRule="auto"/>
              <w:ind w:left="22" w:firstLine="0"/>
              <w:rPr>
                <w:sz w:val="24"/>
                <w:szCs w:val="24"/>
              </w:rPr>
            </w:pPr>
            <w:r w:rsidRPr="00DC3736">
              <w:rPr>
                <w:sz w:val="24"/>
                <w:szCs w:val="24"/>
              </w:rPr>
              <w:t>O planejamento para a modernização da infraestrutura de TI do Sebrae em Rondônia foi iniciado no ano de 2023, em concomitância com a elaboração do PPA 2024. Este planejamento identificou a necessidade urgente de atualizar o parque de servidores da instituição para atender às demandas futuras e garantir a eficiência das operações tecnológicas.</w:t>
            </w:r>
          </w:p>
          <w:p w14:paraId="00779639" w14:textId="77777777" w:rsidR="00DC3736" w:rsidRPr="00DC3736" w:rsidRDefault="00DC3736" w:rsidP="00DC3736">
            <w:pPr>
              <w:pStyle w:val="PargrafodaLista"/>
              <w:tabs>
                <w:tab w:val="left" w:pos="320"/>
              </w:tabs>
              <w:spacing w:after="0" w:line="240" w:lineRule="auto"/>
              <w:ind w:left="22" w:firstLine="0"/>
              <w:rPr>
                <w:sz w:val="24"/>
                <w:szCs w:val="24"/>
              </w:rPr>
            </w:pPr>
            <w:r w:rsidRPr="00DC3736">
              <w:rPr>
                <w:sz w:val="24"/>
                <w:szCs w:val="24"/>
              </w:rPr>
              <w:t>O Sebrae em Rondônia dispõe atualmente de um orçamento específico de R$ 2.024.000,00, destinado à aquisição de servidores e outras infraestruturas de TI, alocados no âmbito do projeto Conect Tech, que visa promover a modernização tecnológica e a ampliação das capacidades de armazenamento e processamento de dados.</w:t>
            </w:r>
          </w:p>
          <w:p w14:paraId="06CAA7BB" w14:textId="3CCA0DCD" w:rsidR="00DC3736" w:rsidRPr="00DC3736" w:rsidRDefault="00DC3736" w:rsidP="00DC3736">
            <w:pPr>
              <w:pStyle w:val="PargrafodaLista"/>
              <w:tabs>
                <w:tab w:val="left" w:pos="320"/>
              </w:tabs>
              <w:spacing w:after="0" w:line="240" w:lineRule="auto"/>
              <w:ind w:left="22" w:firstLine="0"/>
              <w:rPr>
                <w:sz w:val="24"/>
                <w:szCs w:val="24"/>
              </w:rPr>
            </w:pPr>
            <w:r w:rsidRPr="00DC3736">
              <w:rPr>
                <w:sz w:val="24"/>
                <w:szCs w:val="24"/>
              </w:rPr>
              <w:t>A infraestrutura tecnológica atual do Sebrae em Rondônia enfrenta limitações significativas, como baixa capacidade de escalabilidade, desempenho inadequado para novas demandas e altos custos de manutenção. Estes desafios demandam uma solução inovadora que ofereça maior flexibilidade, eficiência e custo</w:t>
            </w:r>
            <w:r w:rsidR="001012E8">
              <w:rPr>
                <w:sz w:val="24"/>
                <w:szCs w:val="24"/>
              </w:rPr>
              <w:t>-</w:t>
            </w:r>
            <w:r w:rsidRPr="00DC3736">
              <w:rPr>
                <w:sz w:val="24"/>
                <w:szCs w:val="24"/>
              </w:rPr>
              <w:t>benefício.</w:t>
            </w:r>
          </w:p>
          <w:p w14:paraId="27916C0E" w14:textId="77777777" w:rsidR="00DC3736" w:rsidRPr="00DC3736" w:rsidRDefault="00DC3736" w:rsidP="00DC3736">
            <w:pPr>
              <w:pStyle w:val="PargrafodaLista"/>
              <w:tabs>
                <w:tab w:val="left" w:pos="320"/>
              </w:tabs>
              <w:spacing w:after="0" w:line="240" w:lineRule="auto"/>
              <w:ind w:left="22" w:firstLine="0"/>
              <w:rPr>
                <w:sz w:val="24"/>
                <w:szCs w:val="24"/>
              </w:rPr>
            </w:pPr>
            <w:r w:rsidRPr="00DC3736">
              <w:rPr>
                <w:sz w:val="24"/>
                <w:szCs w:val="24"/>
              </w:rPr>
              <w:t>A adesão à ata para a aquisição de uma solução hiperconvergente oferecerá ao Sebrae em Rondônia uma série de benefícios significativos que vão transformar a infraestrutura de TI. Com a escalabilidade e flexibilidade proporcionadas por esta solução, será possível expandir as capacidades de armazenamento e processamento de dados de maneira modular e eficiente, acompanhando o crescimento das demandas tecnológicas. A redução de custos é outro ponto forte, uma vez que a hiperconvergência diminui a necessidade de múltiplos componentes e, consequentemente, os gastos com manutenção e operação. Além disso, a integração de diversos componentes em uma única plataforma simplifica a gestão e melhora a eficiência operacional, resultando em uma infraestrutura mais ágil e eficaz. Por fim, ao alinhar-se com as tendências tecnológicas atuais, a solução prepara o Sebrae para o futuro, criando uma base sólida para o desenvolvimento de projetos avançados, como data lakes e outras inovações tecnológicas.</w:t>
            </w:r>
          </w:p>
          <w:p w14:paraId="09C41888" w14:textId="2E803EBA" w:rsidR="007C427C" w:rsidRPr="00DC3736" w:rsidRDefault="00DC3736" w:rsidP="00DC3736">
            <w:pPr>
              <w:pStyle w:val="PargrafodaLista"/>
              <w:tabs>
                <w:tab w:val="left" w:pos="320"/>
              </w:tabs>
              <w:spacing w:after="0" w:line="240" w:lineRule="auto"/>
              <w:ind w:left="0" w:firstLine="0"/>
              <w:rPr>
                <w:sz w:val="24"/>
                <w:szCs w:val="24"/>
              </w:rPr>
            </w:pPr>
            <w:r w:rsidRPr="00DC3736">
              <w:rPr>
                <w:sz w:val="24"/>
                <w:szCs w:val="24"/>
              </w:rPr>
              <w:lastRenderedPageBreak/>
              <w:t xml:space="preserve">É importante enfatizar que o planejamento para a adesão à ata foi submetido ao Comitê de Tecnologia da Informação e Comunicação (CTIC) do Sebrae em Rondônia, conforme estipulado no Regimento Interno do CTIC. Em reunião realizada no dia 14/06, o CTIC deliberou a necessidade da adesão à ARP com base em três considerações principais: primeiramente, a alocação dos recursos de R$ 2.024.000,00 do CSN para a aquisição de infraestrutura e nuvem está devidamente planejada, permitindo uma utilização estratégica desses recursos sem comprometer o orçamento atual. Em segundo lugar, a modernização da infraestrutura é essencial para suportar futuros projetos e atender às crescentes demandas de TI, como a criação de data lakes e o avanço em mídias digitais. </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272F501A" w14:textId="77777777" w:rsidR="00B611BF" w:rsidRDefault="00B611BF" w:rsidP="007C427C">
      <w:pPr>
        <w:pStyle w:val="PargrafodaLista"/>
        <w:tabs>
          <w:tab w:val="left" w:pos="320"/>
        </w:tabs>
        <w:spacing w:after="0" w:line="240" w:lineRule="auto"/>
        <w:ind w:left="0" w:firstLine="0"/>
        <w:rPr>
          <w:color w:val="auto"/>
          <w:sz w:val="24"/>
          <w:szCs w:val="24"/>
        </w:rPr>
        <w:sectPr w:rsidR="00B611BF" w:rsidSect="00B611BF">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pPr>
    </w:p>
    <w:p w14:paraId="482358A6" w14:textId="6A8CB9AA" w:rsidR="007E3741" w:rsidRDefault="007E3741" w:rsidP="007C427C">
      <w:pPr>
        <w:pStyle w:val="PargrafodaLista"/>
        <w:tabs>
          <w:tab w:val="left" w:pos="320"/>
        </w:tabs>
        <w:spacing w:after="0" w:line="240" w:lineRule="auto"/>
        <w:ind w:left="0" w:firstLine="0"/>
        <w:rPr>
          <w:color w:val="auto"/>
          <w:sz w:val="24"/>
          <w:szCs w:val="24"/>
        </w:rPr>
      </w:pPr>
    </w:p>
    <w:p w14:paraId="7D88AB8E" w14:textId="77777777" w:rsidR="00B611BF" w:rsidRDefault="00B611BF" w:rsidP="007C427C">
      <w:pPr>
        <w:pStyle w:val="PargrafodaLista"/>
        <w:tabs>
          <w:tab w:val="left" w:pos="320"/>
        </w:tabs>
        <w:spacing w:after="0" w:line="240" w:lineRule="auto"/>
        <w:ind w:left="0" w:firstLine="0"/>
        <w:rPr>
          <w:color w:val="auto"/>
          <w:sz w:val="24"/>
          <w:szCs w:val="24"/>
        </w:rPr>
      </w:pPr>
    </w:p>
    <w:tbl>
      <w:tblPr>
        <w:tblStyle w:val="Tabelacomgrade"/>
        <w:tblW w:w="13714" w:type="dxa"/>
        <w:tblInd w:w="-5" w:type="dxa"/>
        <w:tblLook w:val="04A0" w:firstRow="1" w:lastRow="0" w:firstColumn="1" w:lastColumn="0" w:noHBand="0" w:noVBand="1"/>
      </w:tblPr>
      <w:tblGrid>
        <w:gridCol w:w="13714"/>
      </w:tblGrid>
      <w:tr w:rsidR="00AC59E0" w:rsidRPr="00EA6617" w14:paraId="0345784F" w14:textId="77777777" w:rsidTr="00A276B5">
        <w:trPr>
          <w:trHeight w:val="2041"/>
        </w:trPr>
        <w:tc>
          <w:tcPr>
            <w:tcW w:w="13714" w:type="dxa"/>
            <w:tcBorders>
              <w:bottom w:val="single" w:sz="4" w:space="0" w:color="auto"/>
            </w:tcBorders>
          </w:tcPr>
          <w:tbl>
            <w:tblPr>
              <w:tblStyle w:val="Tabelacomgrade"/>
              <w:tblW w:w="14483" w:type="dxa"/>
              <w:tblLook w:val="04A0" w:firstRow="1" w:lastRow="0" w:firstColumn="1" w:lastColumn="0" w:noHBand="0" w:noVBand="1"/>
            </w:tblPr>
            <w:tblGrid>
              <w:gridCol w:w="13488"/>
            </w:tblGrid>
            <w:tr w:rsidR="007E3741" w14:paraId="1EE6E640" w14:textId="77777777" w:rsidTr="007E3741">
              <w:trPr>
                <w:trHeight w:val="2041"/>
              </w:trPr>
              <w:tc>
                <w:tcPr>
                  <w:tcW w:w="14483" w:type="dxa"/>
                  <w:tcBorders>
                    <w:top w:val="single" w:sz="4" w:space="0" w:color="auto"/>
                    <w:left w:val="single" w:sz="4" w:space="0" w:color="auto"/>
                    <w:bottom w:val="single" w:sz="4" w:space="0" w:color="auto"/>
                    <w:right w:val="single" w:sz="4" w:space="0" w:color="auto"/>
                  </w:tcBorders>
                </w:tcPr>
                <w:p w14:paraId="7E052FEA" w14:textId="4C10D3F8" w:rsidR="007E3741" w:rsidRPr="007E3741" w:rsidRDefault="007E3741" w:rsidP="007E3741">
                  <w:pPr>
                    <w:pStyle w:val="PargrafodaLista"/>
                    <w:numPr>
                      <w:ilvl w:val="0"/>
                      <w:numId w:val="6"/>
                    </w:numPr>
                    <w:tabs>
                      <w:tab w:val="left" w:pos="320"/>
                    </w:tabs>
                    <w:spacing w:after="0" w:line="240" w:lineRule="auto"/>
                    <w:jc w:val="left"/>
                    <w:rPr>
                      <w:color w:val="auto"/>
                      <w:sz w:val="24"/>
                      <w:szCs w:val="24"/>
                    </w:rPr>
                  </w:pPr>
                  <w:r>
                    <w:rPr>
                      <w:color w:val="auto"/>
                      <w:sz w:val="24"/>
                      <w:szCs w:val="24"/>
                    </w:rPr>
                    <w:br w:type="page"/>
                  </w:r>
                  <w:r w:rsidR="004F0311">
                    <w:rPr>
                      <w:color w:val="auto"/>
                      <w:sz w:val="24"/>
                      <w:szCs w:val="24"/>
                    </w:rPr>
                    <w:t>D</w:t>
                  </w:r>
                  <w:r w:rsidRPr="007E3741">
                    <w:rPr>
                      <w:color w:val="auto"/>
                      <w:sz w:val="24"/>
                      <w:szCs w:val="24"/>
                    </w:rPr>
                    <w:t>ETALHAMENTO/ESPECIFICAÇÃO DO OBJETO:</w:t>
                  </w:r>
                </w:p>
                <w:p w14:paraId="280C2F9A" w14:textId="77777777" w:rsidR="007E3741" w:rsidRDefault="007E3741" w:rsidP="007E3741">
                  <w:pPr>
                    <w:pStyle w:val="PargrafodaLista"/>
                    <w:tabs>
                      <w:tab w:val="left" w:pos="320"/>
                    </w:tabs>
                    <w:spacing w:after="0" w:line="240" w:lineRule="auto"/>
                    <w:ind w:left="0" w:firstLine="0"/>
                    <w:jc w:val="left"/>
                    <w:rPr>
                      <w:color w:val="auto"/>
                      <w:sz w:val="24"/>
                      <w:szCs w:val="24"/>
                    </w:rPr>
                  </w:pPr>
                </w:p>
                <w:p w14:paraId="768AE9B4" w14:textId="77777777" w:rsidR="007E3741" w:rsidRDefault="007E3741" w:rsidP="007E3741">
                  <w:pPr>
                    <w:pStyle w:val="PargrafodaLista"/>
                    <w:numPr>
                      <w:ilvl w:val="1"/>
                      <w:numId w:val="6"/>
                    </w:numPr>
                    <w:tabs>
                      <w:tab w:val="left" w:pos="320"/>
                    </w:tabs>
                    <w:spacing w:after="0" w:line="240" w:lineRule="auto"/>
                    <w:jc w:val="left"/>
                    <w:rPr>
                      <w:color w:val="auto"/>
                      <w:sz w:val="24"/>
                      <w:szCs w:val="24"/>
                    </w:rPr>
                  </w:pPr>
                  <w:r>
                    <w:rPr>
                      <w:color w:val="auto"/>
                      <w:sz w:val="24"/>
                      <w:szCs w:val="24"/>
                    </w:rPr>
                    <w:t>Escopo de Fornecimento:</w:t>
                  </w:r>
                </w:p>
                <w:p w14:paraId="4A349886" w14:textId="77777777" w:rsidR="007E3741" w:rsidRDefault="007E3741" w:rsidP="007E3741">
                  <w:pPr>
                    <w:pStyle w:val="PargrafodaLista"/>
                    <w:tabs>
                      <w:tab w:val="left" w:pos="320"/>
                    </w:tabs>
                    <w:spacing w:after="0" w:line="240" w:lineRule="auto"/>
                    <w:ind w:left="0" w:firstLine="0"/>
                    <w:jc w:val="left"/>
                    <w:rPr>
                      <w:color w:val="auto"/>
                      <w:sz w:val="24"/>
                      <w:szCs w:val="24"/>
                    </w:rPr>
                  </w:pPr>
                </w:p>
                <w:tbl>
                  <w:tblPr>
                    <w:tblW w:w="14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
                    <w:gridCol w:w="1160"/>
                    <w:gridCol w:w="658"/>
                    <w:gridCol w:w="781"/>
                    <w:gridCol w:w="1639"/>
                    <w:gridCol w:w="1140"/>
                    <w:gridCol w:w="1417"/>
                    <w:gridCol w:w="992"/>
                    <w:gridCol w:w="1416"/>
                    <w:gridCol w:w="1266"/>
                    <w:gridCol w:w="1266"/>
                    <w:gridCol w:w="1260"/>
                    <w:gridCol w:w="1285"/>
                  </w:tblGrid>
                  <w:tr w:rsidR="007E3741" w14:paraId="436AFE31" w14:textId="77777777">
                    <w:trPr>
                      <w:trHeight w:val="870"/>
                    </w:trPr>
                    <w:tc>
                      <w:tcPr>
                        <w:tcW w:w="6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C2984"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ITEM</w:t>
                        </w:r>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6188D0"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ESPECIFICAÇÃO</w:t>
                        </w:r>
                      </w:p>
                    </w:tc>
                    <w:tc>
                      <w:tcPr>
                        <w:tcW w:w="6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CA87EE"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UNIDADE DE MEDIDA</w:t>
                        </w:r>
                      </w:p>
                    </w:tc>
                    <w:tc>
                      <w:tcPr>
                        <w:tcW w:w="7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CD6C4F"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QUANTIDADE</w:t>
                        </w:r>
                      </w:p>
                    </w:tc>
                    <w:tc>
                      <w:tcPr>
                        <w:tcW w:w="16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C0EB0A"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VALOR UNITÁRIO</w:t>
                        </w:r>
                      </w:p>
                    </w:tc>
                    <w:tc>
                      <w:tcPr>
                        <w:tcW w:w="1140" w:type="dxa"/>
                        <w:tcBorders>
                          <w:top w:val="single" w:sz="4" w:space="0" w:color="auto"/>
                          <w:left w:val="single" w:sz="4" w:space="0" w:color="auto"/>
                          <w:bottom w:val="single" w:sz="4" w:space="0" w:color="auto"/>
                          <w:right w:val="single" w:sz="4" w:space="0" w:color="auto"/>
                        </w:tcBorders>
                        <w:shd w:val="clear" w:color="auto" w:fill="D9D9D9"/>
                      </w:tcPr>
                      <w:p w14:paraId="5005BE64"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p>
                      <w:p w14:paraId="0765E16A"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p>
                      <w:p w14:paraId="6A85663D"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PERIODO DE GARANTIA</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B01DFC"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VALOR TOTAL</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7B0EA2"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FORMA DE PAGAMENTO</w:t>
                        </w:r>
                      </w:p>
                    </w:tc>
                    <w:tc>
                      <w:tcPr>
                        <w:tcW w:w="14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ED3EA3"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1º PAGAMENTO</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8A856"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2º PAGAMENTO</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EE320"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3º PAGAMENTO</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4C3471"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4º PAGAMENTO</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4A997" w14:textId="77777777" w:rsidR="007E3741" w:rsidRDefault="007E3741" w:rsidP="007E3741">
                        <w:pPr>
                          <w:spacing w:after="0" w:line="240" w:lineRule="auto"/>
                          <w:ind w:firstLine="0"/>
                          <w:jc w:val="center"/>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5º PAGAMENTO</w:t>
                        </w:r>
                      </w:p>
                    </w:tc>
                  </w:tr>
                  <w:tr w:rsidR="007E3741" w14:paraId="3B1ED106"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7AA66CD9"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DAAB2DF"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Solução de Nuvem Privada - Hardware Tipo I</w:t>
                        </w:r>
                      </w:p>
                    </w:tc>
                    <w:tc>
                      <w:tcPr>
                        <w:tcW w:w="658" w:type="dxa"/>
                        <w:tcBorders>
                          <w:top w:val="single" w:sz="4" w:space="0" w:color="auto"/>
                          <w:left w:val="single" w:sz="4" w:space="0" w:color="auto"/>
                          <w:bottom w:val="single" w:sz="4" w:space="0" w:color="auto"/>
                          <w:right w:val="single" w:sz="4" w:space="0" w:color="auto"/>
                        </w:tcBorders>
                        <w:vAlign w:val="center"/>
                        <w:hideMark/>
                      </w:tcPr>
                      <w:p w14:paraId="789D0088"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3A2A5459"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3</w:t>
                        </w:r>
                      </w:p>
                    </w:tc>
                    <w:tc>
                      <w:tcPr>
                        <w:tcW w:w="1639" w:type="dxa"/>
                        <w:tcBorders>
                          <w:top w:val="single" w:sz="4" w:space="0" w:color="auto"/>
                          <w:left w:val="single" w:sz="4" w:space="0" w:color="auto"/>
                          <w:bottom w:val="single" w:sz="4" w:space="0" w:color="auto"/>
                          <w:right w:val="single" w:sz="4" w:space="0" w:color="auto"/>
                        </w:tcBorders>
                        <w:vAlign w:val="center"/>
                        <w:hideMark/>
                      </w:tcPr>
                      <w:p w14:paraId="04F2A663" w14:textId="77777777" w:rsidR="007E3741" w:rsidRDefault="007E3741" w:rsidP="007E3741">
                        <w:pPr>
                          <w:spacing w:after="0" w:line="240" w:lineRule="auto"/>
                          <w:ind w:firstLine="0"/>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388.207,00 </w:t>
                        </w:r>
                      </w:p>
                    </w:tc>
                    <w:tc>
                      <w:tcPr>
                        <w:tcW w:w="1140" w:type="dxa"/>
                        <w:tcBorders>
                          <w:top w:val="single" w:sz="4" w:space="0" w:color="auto"/>
                          <w:left w:val="single" w:sz="4" w:space="0" w:color="auto"/>
                          <w:bottom w:val="single" w:sz="4" w:space="0" w:color="auto"/>
                          <w:right w:val="single" w:sz="4" w:space="0" w:color="auto"/>
                        </w:tcBorders>
                      </w:tcPr>
                      <w:p w14:paraId="6BE5E573"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p>
                      <w:p w14:paraId="6DA06389"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p>
                      <w:p w14:paraId="3D177B3A"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p>
                      <w:p w14:paraId="48DF2EAB"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0E44B7"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1.164.621,00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EFE36"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ÚNICO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01B66BC"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1.164.621,00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64123B9"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C04397C"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1E3C9D"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8082276"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r>
                  <w:tr w:rsidR="007E3741" w14:paraId="1CE720E8"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2845A9F3"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2</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3958FCB"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Solução de Nuvem Privada - Software Tipo I</w:t>
                        </w:r>
                      </w:p>
                    </w:tc>
                    <w:tc>
                      <w:tcPr>
                        <w:tcW w:w="658" w:type="dxa"/>
                        <w:tcBorders>
                          <w:top w:val="single" w:sz="4" w:space="0" w:color="auto"/>
                          <w:left w:val="single" w:sz="4" w:space="0" w:color="auto"/>
                          <w:bottom w:val="single" w:sz="4" w:space="0" w:color="auto"/>
                          <w:right w:val="single" w:sz="4" w:space="0" w:color="auto"/>
                        </w:tcBorders>
                        <w:vAlign w:val="center"/>
                        <w:hideMark/>
                      </w:tcPr>
                      <w:p w14:paraId="6BBA2148"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5E9BAC62"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3</w:t>
                        </w:r>
                      </w:p>
                    </w:tc>
                    <w:tc>
                      <w:tcPr>
                        <w:tcW w:w="1639" w:type="dxa"/>
                        <w:tcBorders>
                          <w:top w:val="single" w:sz="4" w:space="0" w:color="auto"/>
                          <w:left w:val="single" w:sz="4" w:space="0" w:color="auto"/>
                          <w:bottom w:val="single" w:sz="4" w:space="0" w:color="auto"/>
                          <w:right w:val="single" w:sz="4" w:space="0" w:color="auto"/>
                        </w:tcBorders>
                        <w:vAlign w:val="center"/>
                        <w:hideMark/>
                      </w:tcPr>
                      <w:p w14:paraId="153114BB" w14:textId="77777777" w:rsidR="007E3741" w:rsidRDefault="007E3741" w:rsidP="007E3741">
                        <w:pPr>
                          <w:spacing w:after="0" w:line="240" w:lineRule="auto"/>
                          <w:ind w:firstLine="0"/>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748.297,00 </w:t>
                        </w:r>
                      </w:p>
                    </w:tc>
                    <w:tc>
                      <w:tcPr>
                        <w:tcW w:w="1140" w:type="dxa"/>
                        <w:tcBorders>
                          <w:top w:val="single" w:sz="4" w:space="0" w:color="auto"/>
                          <w:left w:val="single" w:sz="4" w:space="0" w:color="auto"/>
                          <w:bottom w:val="single" w:sz="4" w:space="0" w:color="auto"/>
                          <w:right w:val="single" w:sz="4" w:space="0" w:color="auto"/>
                        </w:tcBorders>
                      </w:tcPr>
                      <w:p w14:paraId="16F4F758"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p>
                      <w:p w14:paraId="4EC1A14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p>
                      <w:p w14:paraId="7555882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p>
                      <w:p w14:paraId="6D55D639"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084B9C"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2.244.891,00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495FBD"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PARCELADO ANUALMENTE</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7EA94C0"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R$ 448.978,20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D596158"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R$ 448.978,20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8F82D68" w14:textId="77777777" w:rsidR="007E3741" w:rsidRDefault="007E3741" w:rsidP="007E3741">
                        <w:pPr>
                          <w:spacing w:after="0" w:line="240" w:lineRule="auto"/>
                          <w:ind w:firstLine="0"/>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R$ 448.978,20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F2D0B7"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R$ 448.978,20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3DBF78" w14:textId="77777777" w:rsidR="007E3741" w:rsidRDefault="007E3741" w:rsidP="007E3741">
                        <w:pPr>
                          <w:spacing w:after="0" w:line="240" w:lineRule="auto"/>
                          <w:ind w:firstLine="0"/>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R$ 448.978,20 </w:t>
                        </w:r>
                      </w:p>
                    </w:tc>
                  </w:tr>
                  <w:tr w:rsidR="007E3741" w14:paraId="53C88A4A"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69E6349A"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F7CED5C"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Switch 25GE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6AAAE1A"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4CE5E074"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14:paraId="29E0A725"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141.000,00 </w:t>
                        </w:r>
                      </w:p>
                    </w:tc>
                    <w:tc>
                      <w:tcPr>
                        <w:tcW w:w="1140" w:type="dxa"/>
                        <w:tcBorders>
                          <w:top w:val="single" w:sz="4" w:space="0" w:color="auto"/>
                          <w:left w:val="single" w:sz="4" w:space="0" w:color="auto"/>
                          <w:bottom w:val="single" w:sz="4" w:space="0" w:color="auto"/>
                          <w:right w:val="single" w:sz="4" w:space="0" w:color="auto"/>
                        </w:tcBorders>
                        <w:hideMark/>
                      </w:tcPr>
                      <w:p w14:paraId="2A790A96"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97F5A9"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282.000,00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80DB7"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ÚNICO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FF2FD9A"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282.000,00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7F7ACE5"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3B0D6F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345CE2"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DC3421"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r>
                  <w:tr w:rsidR="007E3741" w14:paraId="270BE6F2"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4F6E0A7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9</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B94E31B"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Cabo 25GE 5MT</w:t>
                        </w:r>
                      </w:p>
                    </w:tc>
                    <w:tc>
                      <w:tcPr>
                        <w:tcW w:w="658" w:type="dxa"/>
                        <w:tcBorders>
                          <w:top w:val="single" w:sz="4" w:space="0" w:color="auto"/>
                          <w:left w:val="single" w:sz="4" w:space="0" w:color="auto"/>
                          <w:bottom w:val="single" w:sz="4" w:space="0" w:color="auto"/>
                          <w:right w:val="single" w:sz="4" w:space="0" w:color="auto"/>
                        </w:tcBorders>
                        <w:vAlign w:val="center"/>
                        <w:hideMark/>
                      </w:tcPr>
                      <w:p w14:paraId="29D95528"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11A4AAEA"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20</w:t>
                        </w:r>
                      </w:p>
                    </w:tc>
                    <w:tc>
                      <w:tcPr>
                        <w:tcW w:w="1639" w:type="dxa"/>
                        <w:tcBorders>
                          <w:top w:val="single" w:sz="4" w:space="0" w:color="auto"/>
                          <w:left w:val="single" w:sz="4" w:space="0" w:color="auto"/>
                          <w:bottom w:val="single" w:sz="4" w:space="0" w:color="auto"/>
                          <w:right w:val="single" w:sz="4" w:space="0" w:color="auto"/>
                        </w:tcBorders>
                        <w:vAlign w:val="center"/>
                        <w:hideMark/>
                      </w:tcPr>
                      <w:p w14:paraId="753D7C24"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2.100,00 </w:t>
                        </w:r>
                      </w:p>
                    </w:tc>
                    <w:tc>
                      <w:tcPr>
                        <w:tcW w:w="1140" w:type="dxa"/>
                        <w:tcBorders>
                          <w:top w:val="single" w:sz="4" w:space="0" w:color="auto"/>
                          <w:left w:val="single" w:sz="4" w:space="0" w:color="auto"/>
                          <w:bottom w:val="single" w:sz="4" w:space="0" w:color="auto"/>
                          <w:right w:val="single" w:sz="4" w:space="0" w:color="auto"/>
                        </w:tcBorders>
                      </w:tcPr>
                      <w:p w14:paraId="52D06691"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p>
                      <w:p w14:paraId="1FFB9B53"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2800B"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42.000,00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6E503"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ÚNICO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33C74B6"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42.000,00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156550A"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8094244"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3FF841"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23AF60"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r>
                  <w:tr w:rsidR="007E3741" w14:paraId="16E428BF"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0EA78911"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10</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C41F8AA"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Transceiver 40GE - SR</w:t>
                        </w:r>
                      </w:p>
                    </w:tc>
                    <w:tc>
                      <w:tcPr>
                        <w:tcW w:w="658" w:type="dxa"/>
                        <w:tcBorders>
                          <w:top w:val="single" w:sz="4" w:space="0" w:color="auto"/>
                          <w:left w:val="single" w:sz="4" w:space="0" w:color="auto"/>
                          <w:bottom w:val="single" w:sz="4" w:space="0" w:color="auto"/>
                          <w:right w:val="single" w:sz="4" w:space="0" w:color="auto"/>
                        </w:tcBorders>
                        <w:vAlign w:val="center"/>
                        <w:hideMark/>
                      </w:tcPr>
                      <w:p w14:paraId="19ED6109"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42B0507D"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14:paraId="010CAA6C"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5.800,00 </w:t>
                        </w:r>
                      </w:p>
                    </w:tc>
                    <w:tc>
                      <w:tcPr>
                        <w:tcW w:w="1140" w:type="dxa"/>
                        <w:tcBorders>
                          <w:top w:val="single" w:sz="4" w:space="0" w:color="auto"/>
                          <w:left w:val="single" w:sz="4" w:space="0" w:color="auto"/>
                          <w:bottom w:val="single" w:sz="4" w:space="0" w:color="auto"/>
                          <w:right w:val="single" w:sz="4" w:space="0" w:color="auto"/>
                        </w:tcBorders>
                      </w:tcPr>
                      <w:p w14:paraId="5DF2B0FF"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p>
                      <w:p w14:paraId="427D1695"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81F4E"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11.600,00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5D0A0"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ÚNICO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C914313"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11.600,00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BC6E52E"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852CECE"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D49E69"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6CDF95D"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r>
                  <w:tr w:rsidR="007E3741" w14:paraId="7A66FFA2" w14:textId="77777777">
                    <w:trPr>
                      <w:trHeight w:val="320"/>
                    </w:trPr>
                    <w:tc>
                      <w:tcPr>
                        <w:tcW w:w="608" w:type="dxa"/>
                        <w:tcBorders>
                          <w:top w:val="single" w:sz="4" w:space="0" w:color="auto"/>
                          <w:left w:val="single" w:sz="4" w:space="0" w:color="auto"/>
                          <w:bottom w:val="single" w:sz="4" w:space="0" w:color="auto"/>
                          <w:right w:val="single" w:sz="4" w:space="0" w:color="auto"/>
                        </w:tcBorders>
                        <w:vAlign w:val="center"/>
                        <w:hideMark/>
                      </w:tcPr>
                      <w:p w14:paraId="49FBF78F"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lastRenderedPageBreak/>
                          <w:t>12</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255106C" w14:textId="77777777" w:rsidR="007E3741" w:rsidRDefault="007E3741" w:rsidP="007E3741">
                        <w:pPr>
                          <w:spacing w:after="0" w:line="240" w:lineRule="auto"/>
                          <w:ind w:firstLine="0"/>
                          <w:jc w:val="left"/>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Serviço de Instalação</w:t>
                        </w:r>
                      </w:p>
                    </w:tc>
                    <w:tc>
                      <w:tcPr>
                        <w:tcW w:w="658" w:type="dxa"/>
                        <w:tcBorders>
                          <w:top w:val="single" w:sz="4" w:space="0" w:color="auto"/>
                          <w:left w:val="single" w:sz="4" w:space="0" w:color="auto"/>
                          <w:bottom w:val="single" w:sz="4" w:space="0" w:color="auto"/>
                          <w:right w:val="single" w:sz="4" w:space="0" w:color="auto"/>
                        </w:tcBorders>
                        <w:vAlign w:val="center"/>
                        <w:hideMark/>
                      </w:tcPr>
                      <w:p w14:paraId="7463F984"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Unidade</w:t>
                        </w:r>
                      </w:p>
                    </w:tc>
                    <w:tc>
                      <w:tcPr>
                        <w:tcW w:w="781" w:type="dxa"/>
                        <w:tcBorders>
                          <w:top w:val="single" w:sz="4" w:space="0" w:color="auto"/>
                          <w:left w:val="single" w:sz="4" w:space="0" w:color="auto"/>
                          <w:bottom w:val="single" w:sz="4" w:space="0" w:color="auto"/>
                          <w:right w:val="single" w:sz="4" w:space="0" w:color="auto"/>
                        </w:tcBorders>
                        <w:vAlign w:val="center"/>
                        <w:hideMark/>
                      </w:tcPr>
                      <w:p w14:paraId="3A682794" w14:textId="77777777" w:rsidR="007E3741" w:rsidRDefault="007E3741" w:rsidP="007E3741">
                        <w:pPr>
                          <w:spacing w:after="0" w:line="240" w:lineRule="auto"/>
                          <w:ind w:firstLine="0"/>
                          <w:jc w:val="center"/>
                          <w:rPr>
                            <w:rFonts w:ascii="Aptos" w:eastAsia="Times New Roman" w:hAnsi="Aptos" w:cs="Times New Roman"/>
                            <w:color w:val="000000"/>
                            <w:kern w:val="0"/>
                            <w:sz w:val="24"/>
                            <w:szCs w:val="24"/>
                            <w:lang w:eastAsia="pt-BR"/>
                          </w:rPr>
                        </w:pPr>
                        <w:r>
                          <w:rPr>
                            <w:rFonts w:ascii="Aptos" w:eastAsia="Times New Roman" w:hAnsi="Aptos" w:cs="Times New Roman"/>
                            <w:color w:val="000000"/>
                            <w:kern w:val="0"/>
                            <w:sz w:val="24"/>
                            <w:szCs w:val="24"/>
                            <w:lang w:eastAsia="pt-BR"/>
                          </w:rPr>
                          <w:t>3</w:t>
                        </w:r>
                      </w:p>
                    </w:tc>
                    <w:tc>
                      <w:tcPr>
                        <w:tcW w:w="1639" w:type="dxa"/>
                        <w:tcBorders>
                          <w:top w:val="single" w:sz="4" w:space="0" w:color="auto"/>
                          <w:left w:val="single" w:sz="4" w:space="0" w:color="auto"/>
                          <w:bottom w:val="single" w:sz="4" w:space="0" w:color="auto"/>
                          <w:right w:val="single" w:sz="4" w:space="0" w:color="auto"/>
                        </w:tcBorders>
                        <w:vAlign w:val="center"/>
                        <w:hideMark/>
                      </w:tcPr>
                      <w:p w14:paraId="48C31E86"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18.059,00 </w:t>
                        </w:r>
                      </w:p>
                    </w:tc>
                    <w:tc>
                      <w:tcPr>
                        <w:tcW w:w="1140" w:type="dxa"/>
                        <w:tcBorders>
                          <w:top w:val="single" w:sz="4" w:space="0" w:color="auto"/>
                          <w:left w:val="single" w:sz="4" w:space="0" w:color="auto"/>
                          <w:bottom w:val="single" w:sz="4" w:space="0" w:color="auto"/>
                          <w:right w:val="single" w:sz="4" w:space="0" w:color="auto"/>
                        </w:tcBorders>
                        <w:hideMark/>
                      </w:tcPr>
                      <w:p w14:paraId="0076D8A5"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60 meses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1DCE0"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54.177,00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35A4A" w14:textId="77777777" w:rsidR="007E3741" w:rsidRDefault="007E3741" w:rsidP="007E3741">
                        <w:pPr>
                          <w:spacing w:after="0" w:line="240" w:lineRule="auto"/>
                          <w:ind w:firstLine="0"/>
                          <w:jc w:val="left"/>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ÚNICO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8B90D0"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R$         54.177,00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A3F63C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CE40942"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4410C1"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43858B" w14:textId="77777777" w:rsidR="007E3741" w:rsidRDefault="007E3741" w:rsidP="007E3741">
                        <w:pPr>
                          <w:spacing w:after="0" w:line="240" w:lineRule="auto"/>
                          <w:ind w:firstLine="0"/>
                          <w:jc w:val="center"/>
                          <w:rPr>
                            <w:rFonts w:ascii="Calibri" w:eastAsia="Times New Roman" w:hAnsi="Calibri" w:cs="Calibri"/>
                            <w:color w:val="000000"/>
                            <w:kern w:val="0"/>
                            <w:sz w:val="24"/>
                            <w:szCs w:val="24"/>
                            <w:lang w:eastAsia="pt-BR"/>
                          </w:rPr>
                        </w:pPr>
                        <w:r>
                          <w:rPr>
                            <w:rFonts w:ascii="Calibri" w:eastAsia="Times New Roman" w:hAnsi="Calibri" w:cs="Calibri"/>
                            <w:color w:val="000000"/>
                            <w:kern w:val="0"/>
                            <w:sz w:val="24"/>
                            <w:szCs w:val="24"/>
                            <w:lang w:eastAsia="pt-BR"/>
                          </w:rPr>
                          <w:t xml:space="preserve"> - </w:t>
                        </w:r>
                      </w:p>
                    </w:tc>
                  </w:tr>
                  <w:tr w:rsidR="007E3741" w14:paraId="1464AA84" w14:textId="77777777">
                    <w:trPr>
                      <w:trHeight w:val="70"/>
                    </w:trPr>
                    <w:tc>
                      <w:tcPr>
                        <w:tcW w:w="484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5C69D765" w14:textId="77777777" w:rsidR="007E3741" w:rsidRDefault="007E3741" w:rsidP="007E3741">
                        <w:pPr>
                          <w:spacing w:after="0" w:line="240" w:lineRule="auto"/>
                          <w:ind w:firstLine="0"/>
                          <w:jc w:val="right"/>
                          <w:rPr>
                            <w:rFonts w:ascii="Calibri" w:eastAsia="Times New Roman" w:hAnsi="Calibri" w:cs="Calibri"/>
                            <w:b/>
                            <w:bCs/>
                            <w:color w:val="000000"/>
                            <w:kern w:val="0"/>
                            <w:lang w:eastAsia="pt-BR"/>
                          </w:rPr>
                        </w:pPr>
                        <w:r>
                          <w:rPr>
                            <w:rFonts w:ascii="Calibri" w:eastAsia="Times New Roman" w:hAnsi="Calibri" w:cs="Calibri"/>
                            <w:b/>
                            <w:bCs/>
                            <w:color w:val="000000"/>
                            <w:kern w:val="0"/>
                            <w:lang w:eastAsia="pt-BR"/>
                          </w:rPr>
                          <w:t>Total:</w:t>
                        </w: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92D1C" w14:textId="77777777" w:rsidR="007E3741" w:rsidRDefault="007E3741" w:rsidP="007E3741">
                        <w:pPr>
                          <w:spacing w:after="0" w:line="240" w:lineRule="auto"/>
                          <w:ind w:firstLine="0"/>
                          <w:jc w:val="left"/>
                          <w:rPr>
                            <w:rFonts w:ascii="Aptos Narrow" w:eastAsia="Times New Roman" w:hAnsi="Aptos Narrow" w:cs="Times New Roman"/>
                            <w:b/>
                            <w:bCs/>
                            <w:color w:val="FF0000"/>
                            <w:kern w:val="0"/>
                            <w:lang w:eastAsia="pt-BR"/>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AC468D5" w14:textId="77777777" w:rsidR="007E3741" w:rsidRDefault="007E3741" w:rsidP="007E3741">
                        <w:pPr>
                          <w:spacing w:after="0" w:line="240" w:lineRule="auto"/>
                          <w:ind w:firstLine="0"/>
                          <w:jc w:val="left"/>
                          <w:rPr>
                            <w:rFonts w:ascii="Aptos Narrow" w:eastAsia="Times New Roman" w:hAnsi="Aptos Narrow" w:cs="Times New Roman"/>
                            <w:b/>
                            <w:bCs/>
                            <w:color w:val="FF0000"/>
                            <w:kern w:val="0"/>
                            <w:lang w:eastAsia="pt-BR"/>
                          </w:rPr>
                        </w:pPr>
                        <w:r>
                          <w:rPr>
                            <w:rFonts w:ascii="Aptos Narrow" w:eastAsia="Times New Roman" w:hAnsi="Aptos Narrow" w:cs="Times New Roman"/>
                            <w:b/>
                            <w:bCs/>
                            <w:color w:val="FF0000"/>
                            <w:kern w:val="0"/>
                            <w:lang w:eastAsia="pt-BR"/>
                          </w:rPr>
                          <w:t xml:space="preserve"> R$       3.799.289,00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F68F2B" w14:textId="77777777" w:rsidR="007E3741" w:rsidRDefault="007E3741" w:rsidP="007E3741">
                        <w:pPr>
                          <w:spacing w:after="0" w:line="240" w:lineRule="auto"/>
                          <w:ind w:firstLine="0"/>
                          <w:jc w:val="left"/>
                          <w:rPr>
                            <w:rFonts w:ascii="Aptos Narrow" w:eastAsia="Times New Roman" w:hAnsi="Aptos Narrow" w:cs="Times New Roman"/>
                            <w:b/>
                            <w:bCs/>
                            <w:color w:val="FF0000"/>
                            <w:kern w:val="0"/>
                            <w:lang w:eastAsia="pt-BR"/>
                          </w:rPr>
                        </w:pPr>
                        <w:r>
                          <w:rPr>
                            <w:rFonts w:ascii="Aptos Narrow" w:eastAsia="Times New Roman" w:hAnsi="Aptos Narrow" w:cs="Times New Roman"/>
                            <w:b/>
                            <w:bCs/>
                            <w:color w:val="FF0000"/>
                            <w:kern w:val="0"/>
                            <w:lang w:eastAsia="pt-BR"/>
                          </w:rPr>
                          <w:t xml:space="preserve"> - </w:t>
                        </w:r>
                      </w:p>
                    </w:tc>
                    <w:tc>
                      <w:tcPr>
                        <w:tcW w:w="1416" w:type="dxa"/>
                        <w:tcBorders>
                          <w:top w:val="single" w:sz="4" w:space="0" w:color="auto"/>
                          <w:left w:val="single" w:sz="4" w:space="0" w:color="auto"/>
                          <w:bottom w:val="single" w:sz="4" w:space="0" w:color="auto"/>
                          <w:right w:val="single" w:sz="4" w:space="0" w:color="auto"/>
                        </w:tcBorders>
                        <w:noWrap/>
                        <w:vAlign w:val="bottom"/>
                        <w:hideMark/>
                      </w:tcPr>
                      <w:p w14:paraId="5CDF2BA7" w14:textId="77777777" w:rsidR="007E3741" w:rsidRDefault="007E3741" w:rsidP="007E3741">
                        <w:pPr>
                          <w:spacing w:after="0" w:line="240" w:lineRule="auto"/>
                          <w:ind w:firstLine="0"/>
                          <w:jc w:val="left"/>
                          <w:rPr>
                            <w:rFonts w:ascii="Aptos Narrow" w:eastAsia="Times New Roman" w:hAnsi="Aptos Narrow" w:cs="Times New Roman"/>
                            <w:color w:val="0070C0"/>
                            <w:kern w:val="0"/>
                            <w:lang w:eastAsia="pt-BR"/>
                          </w:rPr>
                        </w:pPr>
                        <w:r>
                          <w:rPr>
                            <w:rFonts w:ascii="Aptos Narrow" w:eastAsia="Times New Roman" w:hAnsi="Aptos Narrow" w:cs="Times New Roman"/>
                            <w:color w:val="0070C0"/>
                            <w:kern w:val="0"/>
                            <w:lang w:eastAsia="pt-BR"/>
                          </w:rPr>
                          <w:t xml:space="preserve"> R$       2.003.376,20 </w:t>
                        </w:r>
                      </w:p>
                    </w:tc>
                    <w:tc>
                      <w:tcPr>
                        <w:tcW w:w="1266" w:type="dxa"/>
                        <w:tcBorders>
                          <w:top w:val="single" w:sz="4" w:space="0" w:color="auto"/>
                          <w:left w:val="single" w:sz="4" w:space="0" w:color="auto"/>
                          <w:bottom w:val="single" w:sz="4" w:space="0" w:color="auto"/>
                          <w:right w:val="single" w:sz="4" w:space="0" w:color="auto"/>
                        </w:tcBorders>
                        <w:noWrap/>
                        <w:vAlign w:val="bottom"/>
                        <w:hideMark/>
                      </w:tcPr>
                      <w:p w14:paraId="789A86FF" w14:textId="77777777" w:rsidR="007E3741" w:rsidRDefault="007E3741" w:rsidP="007E3741">
                        <w:pPr>
                          <w:spacing w:after="0" w:line="240" w:lineRule="auto"/>
                          <w:ind w:firstLine="0"/>
                          <w:jc w:val="left"/>
                          <w:rPr>
                            <w:rFonts w:ascii="Aptos Narrow" w:eastAsia="Times New Roman" w:hAnsi="Aptos Narrow" w:cs="Times New Roman"/>
                            <w:color w:val="0070C0"/>
                            <w:kern w:val="0"/>
                            <w:lang w:eastAsia="pt-BR"/>
                          </w:rPr>
                        </w:pPr>
                        <w:r>
                          <w:rPr>
                            <w:rFonts w:ascii="Aptos Narrow" w:eastAsia="Times New Roman" w:hAnsi="Aptos Narrow" w:cs="Times New Roman"/>
                            <w:color w:val="0070C0"/>
                            <w:kern w:val="0"/>
                            <w:lang w:eastAsia="pt-BR"/>
                          </w:rPr>
                          <w:t xml:space="preserve"> R$      448.978,20 </w:t>
                        </w:r>
                      </w:p>
                    </w:tc>
                    <w:tc>
                      <w:tcPr>
                        <w:tcW w:w="1266" w:type="dxa"/>
                        <w:tcBorders>
                          <w:top w:val="single" w:sz="4" w:space="0" w:color="auto"/>
                          <w:left w:val="single" w:sz="4" w:space="0" w:color="auto"/>
                          <w:bottom w:val="single" w:sz="4" w:space="0" w:color="auto"/>
                          <w:right w:val="single" w:sz="4" w:space="0" w:color="auto"/>
                        </w:tcBorders>
                        <w:noWrap/>
                        <w:vAlign w:val="bottom"/>
                        <w:hideMark/>
                      </w:tcPr>
                      <w:p w14:paraId="5B39E2F7" w14:textId="77777777" w:rsidR="007E3741" w:rsidRDefault="007E3741" w:rsidP="007E3741">
                        <w:pPr>
                          <w:spacing w:after="0" w:line="240" w:lineRule="auto"/>
                          <w:ind w:firstLine="0"/>
                          <w:jc w:val="left"/>
                          <w:rPr>
                            <w:rFonts w:ascii="Aptos Narrow" w:eastAsia="Times New Roman" w:hAnsi="Aptos Narrow" w:cs="Times New Roman"/>
                            <w:color w:val="0070C0"/>
                            <w:kern w:val="0"/>
                            <w:lang w:eastAsia="pt-BR"/>
                          </w:rPr>
                        </w:pPr>
                        <w:r>
                          <w:rPr>
                            <w:rFonts w:ascii="Aptos Narrow" w:eastAsia="Times New Roman" w:hAnsi="Aptos Narrow" w:cs="Times New Roman"/>
                            <w:color w:val="0070C0"/>
                            <w:kern w:val="0"/>
                            <w:lang w:eastAsia="pt-BR"/>
                          </w:rPr>
                          <w:t xml:space="preserve"> R$            448.978,20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6C50129" w14:textId="77777777" w:rsidR="007E3741" w:rsidRDefault="007E3741" w:rsidP="007E3741">
                        <w:pPr>
                          <w:spacing w:after="0" w:line="240" w:lineRule="auto"/>
                          <w:ind w:firstLine="0"/>
                          <w:jc w:val="left"/>
                          <w:rPr>
                            <w:rFonts w:ascii="Aptos Narrow" w:eastAsia="Times New Roman" w:hAnsi="Aptos Narrow" w:cs="Times New Roman"/>
                            <w:color w:val="0070C0"/>
                            <w:kern w:val="0"/>
                            <w:lang w:eastAsia="pt-BR"/>
                          </w:rPr>
                        </w:pPr>
                        <w:r>
                          <w:rPr>
                            <w:rFonts w:ascii="Aptos Narrow" w:eastAsia="Times New Roman" w:hAnsi="Aptos Narrow" w:cs="Times New Roman"/>
                            <w:color w:val="0070C0"/>
                            <w:kern w:val="0"/>
                            <w:lang w:eastAsia="pt-BR"/>
                          </w:rPr>
                          <w:t xml:space="preserve"> R$               448.978,20 </w:t>
                        </w:r>
                      </w:p>
                    </w:tc>
                    <w:tc>
                      <w:tcPr>
                        <w:tcW w:w="1285" w:type="dxa"/>
                        <w:tcBorders>
                          <w:top w:val="single" w:sz="4" w:space="0" w:color="auto"/>
                          <w:left w:val="single" w:sz="4" w:space="0" w:color="auto"/>
                          <w:bottom w:val="single" w:sz="4" w:space="0" w:color="auto"/>
                          <w:right w:val="single" w:sz="4" w:space="0" w:color="auto"/>
                        </w:tcBorders>
                        <w:noWrap/>
                        <w:vAlign w:val="bottom"/>
                        <w:hideMark/>
                      </w:tcPr>
                      <w:p w14:paraId="5ECA5D28" w14:textId="77777777" w:rsidR="007E3741" w:rsidRDefault="007E3741" w:rsidP="007E3741">
                        <w:pPr>
                          <w:spacing w:after="0" w:line="240" w:lineRule="auto"/>
                          <w:ind w:firstLine="0"/>
                          <w:jc w:val="left"/>
                          <w:rPr>
                            <w:rFonts w:ascii="Aptos Narrow" w:eastAsia="Times New Roman" w:hAnsi="Aptos Narrow" w:cs="Times New Roman"/>
                            <w:color w:val="0070C0"/>
                            <w:kern w:val="0"/>
                            <w:lang w:eastAsia="pt-BR"/>
                          </w:rPr>
                        </w:pPr>
                        <w:r>
                          <w:rPr>
                            <w:rFonts w:ascii="Aptos Narrow" w:eastAsia="Times New Roman" w:hAnsi="Aptos Narrow" w:cs="Times New Roman"/>
                            <w:color w:val="0070C0"/>
                            <w:kern w:val="0"/>
                            <w:lang w:eastAsia="pt-BR"/>
                          </w:rPr>
                          <w:t xml:space="preserve"> R$        448.978,20 </w:t>
                        </w:r>
                      </w:p>
                    </w:tc>
                  </w:tr>
                </w:tbl>
                <w:p w14:paraId="74EE3B67" w14:textId="77777777" w:rsidR="007E3741" w:rsidRDefault="007E3741" w:rsidP="007E3741">
                  <w:pPr>
                    <w:pStyle w:val="PargrafodaLista"/>
                    <w:tabs>
                      <w:tab w:val="left" w:pos="320"/>
                    </w:tabs>
                    <w:spacing w:after="0" w:line="240" w:lineRule="auto"/>
                    <w:ind w:left="0" w:firstLine="0"/>
                    <w:jc w:val="left"/>
                    <w:rPr>
                      <w:color w:val="auto"/>
                      <w:sz w:val="24"/>
                      <w:szCs w:val="24"/>
                    </w:rPr>
                  </w:pPr>
                  <w:r>
                    <w:rPr>
                      <w:color w:val="auto"/>
                      <w:sz w:val="24"/>
                      <w:szCs w:val="24"/>
                    </w:rPr>
                    <w:t>Tabela 01 – Escopo de Fornecimento</w:t>
                  </w:r>
                </w:p>
                <w:p w14:paraId="7269DA1F" w14:textId="77777777" w:rsidR="007E3741" w:rsidRDefault="007E3741" w:rsidP="007E3741">
                  <w:pPr>
                    <w:pStyle w:val="PargrafodaLista"/>
                    <w:tabs>
                      <w:tab w:val="left" w:pos="320"/>
                    </w:tabs>
                    <w:spacing w:after="0" w:line="240" w:lineRule="auto"/>
                    <w:ind w:left="0" w:firstLine="0"/>
                    <w:jc w:val="left"/>
                    <w:rPr>
                      <w:color w:val="auto"/>
                      <w:sz w:val="24"/>
                      <w:szCs w:val="24"/>
                    </w:rPr>
                  </w:pPr>
                </w:p>
                <w:p w14:paraId="61E1D344" w14:textId="77777777" w:rsidR="007E3741" w:rsidRDefault="007E3741" w:rsidP="007E3741">
                  <w:pPr>
                    <w:pStyle w:val="PargrafodaLista"/>
                    <w:tabs>
                      <w:tab w:val="left" w:pos="320"/>
                    </w:tabs>
                    <w:spacing w:after="0" w:line="240" w:lineRule="auto"/>
                    <w:ind w:left="0" w:firstLine="0"/>
                    <w:jc w:val="left"/>
                    <w:rPr>
                      <w:color w:val="auto"/>
                      <w:sz w:val="24"/>
                      <w:szCs w:val="24"/>
                    </w:rPr>
                  </w:pPr>
                </w:p>
                <w:p w14:paraId="2F72C939"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Legenda das colunas da Tabela 01.</w:t>
                  </w:r>
                </w:p>
                <w:p w14:paraId="619E4A4D" w14:textId="77777777" w:rsidR="007E3741" w:rsidRPr="007E3741" w:rsidRDefault="007E3741" w:rsidP="007E3741">
                  <w:pPr>
                    <w:pStyle w:val="PargrafodaLista"/>
                    <w:numPr>
                      <w:ilvl w:val="3"/>
                      <w:numId w:val="6"/>
                    </w:numPr>
                    <w:tabs>
                      <w:tab w:val="left" w:pos="320"/>
                    </w:tabs>
                    <w:spacing w:after="0" w:line="240" w:lineRule="auto"/>
                    <w:jc w:val="left"/>
                    <w:rPr>
                      <w:color w:val="auto"/>
                      <w:sz w:val="24"/>
                      <w:szCs w:val="24"/>
                    </w:rPr>
                  </w:pPr>
                  <w:r w:rsidRPr="007E3741">
                    <w:rPr>
                      <w:color w:val="auto"/>
                      <w:sz w:val="24"/>
                      <w:szCs w:val="24"/>
                    </w:rPr>
                    <w:t xml:space="preserve">A coluna </w:t>
                  </w:r>
                  <w:r w:rsidRPr="007E3741">
                    <w:rPr>
                      <w:color w:val="auto"/>
                      <w:sz w:val="24"/>
                      <w:szCs w:val="24"/>
                      <w:lang w:val="en-US"/>
                    </w:rPr>
                    <w:t>“</w:t>
                  </w:r>
                  <w:r w:rsidRPr="007E3741">
                    <w:rPr>
                      <w:color w:val="auto"/>
                      <w:sz w:val="24"/>
                      <w:szCs w:val="24"/>
                    </w:rPr>
                    <w:t>ITEM</w:t>
                  </w:r>
                  <w:r w:rsidRPr="007E3741">
                    <w:rPr>
                      <w:color w:val="auto"/>
                      <w:sz w:val="24"/>
                      <w:szCs w:val="24"/>
                      <w:lang w:val="en-US"/>
                    </w:rPr>
                    <w:t>”</w:t>
                  </w:r>
                  <w:r w:rsidRPr="007E3741">
                    <w:rPr>
                      <w:color w:val="auto"/>
                      <w:sz w:val="24"/>
                      <w:szCs w:val="24"/>
                    </w:rPr>
                    <w:t xml:space="preserve"> enumera os itens do escopo de fornecimento. O Sebrae poderá adquirir, a seu exclusivo critério, sob demanda, qualquer item da Tabela 01, de forma isolada ou combinada.</w:t>
                  </w:r>
                </w:p>
                <w:p w14:paraId="49E34B64" w14:textId="3CC30291" w:rsidR="007E3741" w:rsidRPr="007E3741" w:rsidRDefault="007E3741" w:rsidP="007E3741">
                  <w:pPr>
                    <w:pStyle w:val="PargrafodaLista"/>
                    <w:numPr>
                      <w:ilvl w:val="4"/>
                      <w:numId w:val="6"/>
                    </w:numPr>
                    <w:tabs>
                      <w:tab w:val="left" w:pos="320"/>
                    </w:tabs>
                    <w:spacing w:after="0" w:line="240" w:lineRule="auto"/>
                    <w:jc w:val="left"/>
                    <w:rPr>
                      <w:color w:val="auto"/>
                      <w:sz w:val="24"/>
                      <w:szCs w:val="24"/>
                    </w:rPr>
                  </w:pPr>
                  <w:r w:rsidRPr="007E3741">
                    <w:rPr>
                      <w:color w:val="auto"/>
                      <w:sz w:val="24"/>
                      <w:szCs w:val="24"/>
                    </w:rPr>
                    <w:t>O Itens 01 a 11, representam a aquisição de produto e/ou de subscrição de direito</w:t>
                  </w:r>
                  <w:r>
                    <w:rPr>
                      <w:color w:val="auto"/>
                      <w:sz w:val="24"/>
                      <w:szCs w:val="24"/>
                    </w:rPr>
                    <w:t xml:space="preserve"> </w:t>
                  </w:r>
                  <w:r w:rsidRPr="007E3741">
                    <w:rPr>
                      <w:color w:val="auto"/>
                      <w:sz w:val="24"/>
                      <w:szCs w:val="24"/>
                    </w:rPr>
                    <w:t>de uso de software e garantia de software.</w:t>
                  </w:r>
                </w:p>
                <w:p w14:paraId="2FD006C8" w14:textId="77777777" w:rsidR="007E3741" w:rsidRPr="007E3741" w:rsidRDefault="007E3741" w:rsidP="007E3741">
                  <w:pPr>
                    <w:pStyle w:val="PargrafodaLista"/>
                    <w:numPr>
                      <w:ilvl w:val="4"/>
                      <w:numId w:val="6"/>
                    </w:numPr>
                    <w:tabs>
                      <w:tab w:val="left" w:pos="320"/>
                    </w:tabs>
                    <w:spacing w:after="0" w:line="240" w:lineRule="auto"/>
                    <w:jc w:val="left"/>
                    <w:rPr>
                      <w:color w:val="auto"/>
                      <w:sz w:val="24"/>
                      <w:szCs w:val="24"/>
                    </w:rPr>
                  </w:pPr>
                  <w:r w:rsidRPr="007E3741">
                    <w:rPr>
                      <w:color w:val="auto"/>
                      <w:sz w:val="24"/>
                      <w:szCs w:val="24"/>
                    </w:rPr>
                    <w:t>O item 12 representa a aquisição de serviço de instalação que ocorre uma única vez por para cada conjunto adquirido dos Itens (1 e 2).</w:t>
                  </w:r>
                </w:p>
                <w:p w14:paraId="5AA0FD1F" w14:textId="77777777" w:rsidR="007E3741" w:rsidRPr="007E3741" w:rsidRDefault="007E3741" w:rsidP="007E3741">
                  <w:pPr>
                    <w:pStyle w:val="PargrafodaLista"/>
                    <w:numPr>
                      <w:ilvl w:val="3"/>
                      <w:numId w:val="6"/>
                    </w:numPr>
                    <w:tabs>
                      <w:tab w:val="left" w:pos="320"/>
                    </w:tabs>
                    <w:spacing w:after="0" w:line="240" w:lineRule="auto"/>
                    <w:jc w:val="left"/>
                    <w:rPr>
                      <w:color w:val="auto"/>
                      <w:sz w:val="24"/>
                      <w:szCs w:val="24"/>
                    </w:rPr>
                  </w:pPr>
                  <w:r w:rsidRPr="007E3741">
                    <w:rPr>
                      <w:color w:val="auto"/>
                      <w:sz w:val="24"/>
                      <w:szCs w:val="24"/>
                    </w:rPr>
                    <w:t>A coluna “DESCRIÇÃO” descreve de forma suscinta o produto e/ou serviço a ser ofertado em cada Item. Os requisitos técnicos para cada item constam detalhados no ANEXO I – ESPECIFICAÇÃO DO OBJETO.</w:t>
                  </w:r>
                </w:p>
                <w:p w14:paraId="6D1B7FA0" w14:textId="77777777" w:rsidR="007E3741" w:rsidRPr="007E3741" w:rsidRDefault="007E3741" w:rsidP="007E3741">
                  <w:pPr>
                    <w:pStyle w:val="PargrafodaLista"/>
                    <w:numPr>
                      <w:ilvl w:val="3"/>
                      <w:numId w:val="6"/>
                    </w:numPr>
                    <w:tabs>
                      <w:tab w:val="left" w:pos="320"/>
                    </w:tabs>
                    <w:spacing w:after="0" w:line="240" w:lineRule="auto"/>
                    <w:jc w:val="left"/>
                    <w:rPr>
                      <w:color w:val="auto"/>
                      <w:sz w:val="24"/>
                      <w:szCs w:val="24"/>
                    </w:rPr>
                  </w:pPr>
                  <w:r w:rsidRPr="007E3741">
                    <w:rPr>
                      <w:color w:val="auto"/>
                      <w:sz w:val="24"/>
                      <w:szCs w:val="24"/>
                    </w:rPr>
                    <w:t>A coluna “FORMA DE PAGAMENTO” descreve como será realizado pelo Sebrae o pagamento de cada item.</w:t>
                  </w:r>
                </w:p>
                <w:p w14:paraId="52FC1682" w14:textId="44D468E6"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Para os Itens 1 a 11 o termo “Parcela Única” define que o pagamento será realizado a vista, em única parcela, após a execução da Ordem de Fornecimento (O.F), ateste pelo fiscal e gestor do contrato e entrega da nota fiscal.</w:t>
                  </w:r>
                </w:p>
                <w:p w14:paraId="2BF85CF5" w14:textId="77302EB8"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Para os Itens 12 o termo “Parcela Única” define que o pagamento será realizado a vista, em única parcela, após a execução da Ordem de Serviço (OS), ateste pelo fiscal e gestor do contrato e entrega da nota fiscal.</w:t>
                  </w:r>
                </w:p>
                <w:p w14:paraId="7212F3C6"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Para o Item 2, o pagamento será realizado de forma parcelada, com periodicidade anual, na mesma data da assinatura do contrato.</w:t>
                  </w:r>
                </w:p>
                <w:p w14:paraId="5C1EEBC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Todos os pagamentos ocorrerão, somente após ateste pelo fiscal e gestor do contrato, nos termos do item “CRONOGRAMA DE ENTREGA, EXECUÇÃO E PAGAMENTO” do ANEXO I, sem prejuízo as demais condições do Edital e seus anexos.</w:t>
                  </w:r>
                </w:p>
                <w:p w14:paraId="29487DC6"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lastRenderedPageBreak/>
                    <w:t>Os requisitos técnicos para cada item constam detalhados no ANEXO I – ESPECIFICAÇÃO DO OBJETO.</w:t>
                  </w:r>
                </w:p>
                <w:p w14:paraId="78D04148" w14:textId="6B2C8D94" w:rsidR="007E3741" w:rsidRPr="007E3741" w:rsidRDefault="007E3741" w:rsidP="007E3741">
                  <w:pPr>
                    <w:pStyle w:val="PargrafodaLista"/>
                    <w:numPr>
                      <w:ilvl w:val="4"/>
                      <w:numId w:val="6"/>
                    </w:numPr>
                    <w:tabs>
                      <w:tab w:val="left" w:pos="320"/>
                    </w:tabs>
                    <w:autoSpaceDE w:val="0"/>
                    <w:autoSpaceDN w:val="0"/>
                    <w:adjustRightInd w:val="0"/>
                    <w:spacing w:after="0" w:line="240" w:lineRule="auto"/>
                    <w:jc w:val="left"/>
                    <w:rPr>
                      <w:color w:val="auto"/>
                      <w:sz w:val="24"/>
                      <w:szCs w:val="24"/>
                    </w:rPr>
                  </w:pPr>
                  <w:r>
                    <w:rPr>
                      <w:color w:val="auto"/>
                      <w:sz w:val="24"/>
                      <w:szCs w:val="24"/>
                    </w:rPr>
                    <w:t xml:space="preserve">Para os Itens 1 a 12 o período de garantia é de “60 meses”. O período de garantia </w:t>
                  </w:r>
                  <w:r w:rsidRPr="007E3741">
                    <w:rPr>
                      <w:color w:val="auto"/>
                      <w:sz w:val="24"/>
                      <w:szCs w:val="24"/>
                    </w:rPr>
                    <w:t>por 60 meses se justifica na segurança e proteção do investimento a longo prazo. Proporciona ainda garantia abrangente e suporte técnico contínuo por 60 meses, reduzindo custos de manutenção, garantindo a continuidade operacional e maximizando o ciclo de vida do produto, resultando em eficiência e eficácia duradouras.</w:t>
                  </w:r>
                </w:p>
                <w:p w14:paraId="6865597F"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t>A coluna “UNIDADE” define a métrica de aquisição de cada item.</w:t>
                  </w:r>
                </w:p>
                <w:p w14:paraId="13273E2C" w14:textId="77777777" w:rsidR="007E3741" w:rsidRDefault="007E3741" w:rsidP="007E3741">
                  <w:pPr>
                    <w:pStyle w:val="PargrafodaLista"/>
                    <w:numPr>
                      <w:ilvl w:val="4"/>
                      <w:numId w:val="6"/>
                    </w:numPr>
                    <w:tabs>
                      <w:tab w:val="left" w:pos="320"/>
                    </w:tabs>
                    <w:autoSpaceDE w:val="0"/>
                    <w:autoSpaceDN w:val="0"/>
                    <w:adjustRightInd w:val="0"/>
                    <w:spacing w:after="0" w:line="240" w:lineRule="auto"/>
                    <w:jc w:val="left"/>
                    <w:rPr>
                      <w:color w:val="auto"/>
                      <w:sz w:val="24"/>
                      <w:szCs w:val="24"/>
                    </w:rPr>
                  </w:pPr>
                  <w:r>
                    <w:rPr>
                      <w:color w:val="auto"/>
                      <w:sz w:val="24"/>
                      <w:szCs w:val="24"/>
                    </w:rPr>
                    <w:t>O termo “unidade” define que o item poderá ser adquirido pelo Sebrae, sob demanda,em frações de 1 em 1 unidade.</w:t>
                  </w:r>
                </w:p>
                <w:p w14:paraId="6388DA13" w14:textId="77777777" w:rsidR="007E3741" w:rsidRDefault="007E3741" w:rsidP="007E3741">
                  <w:pPr>
                    <w:pStyle w:val="PargrafodaLista"/>
                    <w:numPr>
                      <w:ilvl w:val="4"/>
                      <w:numId w:val="6"/>
                    </w:numPr>
                    <w:tabs>
                      <w:tab w:val="left" w:pos="320"/>
                    </w:tabs>
                    <w:autoSpaceDE w:val="0"/>
                    <w:autoSpaceDN w:val="0"/>
                    <w:adjustRightInd w:val="0"/>
                    <w:spacing w:after="0" w:line="240" w:lineRule="auto"/>
                    <w:jc w:val="left"/>
                    <w:rPr>
                      <w:color w:val="auto"/>
                      <w:sz w:val="24"/>
                      <w:szCs w:val="24"/>
                    </w:rPr>
                  </w:pPr>
                  <w:r>
                    <w:rPr>
                      <w:color w:val="auto"/>
                      <w:sz w:val="24"/>
                      <w:szCs w:val="24"/>
                    </w:rPr>
                    <w:t>Alternativamente, o Sebrae, poderá, ao seu critério, definir demanda em frações anuais ou totais, mas com pagamento mensal.</w:t>
                  </w:r>
                </w:p>
                <w:p w14:paraId="1422FEAB"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t>A coluna “QUANTIDADE” define por item a quantidade que o Sebrae se compromete a adquirir como demanda inicial do projeto.</w:t>
                  </w:r>
                </w:p>
                <w:p w14:paraId="1D90B1F3"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t>A coluna “QTD TOTAL PARA REGISTRO” expressa o quantitativo total da licitação que</w:t>
                  </w:r>
                </w:p>
                <w:p w14:paraId="53078A39" w14:textId="77777777" w:rsidR="007E3741" w:rsidRDefault="007E3741" w:rsidP="007E3741">
                  <w:pPr>
                    <w:pStyle w:val="PargrafodaLista"/>
                    <w:tabs>
                      <w:tab w:val="left" w:pos="320"/>
                    </w:tabs>
                    <w:autoSpaceDE w:val="0"/>
                    <w:autoSpaceDN w:val="0"/>
                    <w:adjustRightInd w:val="0"/>
                    <w:spacing w:after="0" w:line="240" w:lineRule="auto"/>
                    <w:ind w:left="4320" w:firstLine="0"/>
                    <w:jc w:val="left"/>
                    <w:rPr>
                      <w:color w:val="auto"/>
                      <w:sz w:val="24"/>
                      <w:szCs w:val="24"/>
                    </w:rPr>
                  </w:pPr>
                  <w:r>
                    <w:rPr>
                      <w:color w:val="auto"/>
                      <w:sz w:val="24"/>
                      <w:szCs w:val="24"/>
                    </w:rPr>
                    <w:t>irá compor a quantidade total da Ata de Registro de Preços. Não há compromisso da</w:t>
                  </w:r>
                </w:p>
                <w:p w14:paraId="634E8977" w14:textId="77777777" w:rsidR="007E3741" w:rsidRDefault="007E3741" w:rsidP="007E3741">
                  <w:pPr>
                    <w:pStyle w:val="PargrafodaLista"/>
                    <w:tabs>
                      <w:tab w:val="left" w:pos="320"/>
                    </w:tabs>
                    <w:autoSpaceDE w:val="0"/>
                    <w:autoSpaceDN w:val="0"/>
                    <w:adjustRightInd w:val="0"/>
                    <w:spacing w:after="0" w:line="240" w:lineRule="auto"/>
                    <w:ind w:left="4320" w:firstLine="0"/>
                    <w:jc w:val="left"/>
                    <w:rPr>
                      <w:color w:val="auto"/>
                      <w:sz w:val="24"/>
                      <w:szCs w:val="24"/>
                    </w:rPr>
                  </w:pPr>
                  <w:r>
                    <w:rPr>
                      <w:color w:val="auto"/>
                      <w:sz w:val="24"/>
                      <w:szCs w:val="24"/>
                    </w:rPr>
                    <w:t>contratação da QTD TOTAL PARA REGISTRO pelo Sebrae.</w:t>
                  </w:r>
                </w:p>
                <w:p w14:paraId="56FC957D" w14:textId="77777777" w:rsidR="007E3741" w:rsidRDefault="007E3741" w:rsidP="007E3741">
                  <w:pPr>
                    <w:pStyle w:val="PargrafodaLista"/>
                    <w:numPr>
                      <w:ilvl w:val="4"/>
                      <w:numId w:val="6"/>
                    </w:numPr>
                    <w:tabs>
                      <w:tab w:val="left" w:pos="320"/>
                    </w:tabs>
                    <w:autoSpaceDE w:val="0"/>
                    <w:autoSpaceDN w:val="0"/>
                    <w:adjustRightInd w:val="0"/>
                    <w:spacing w:after="0" w:line="240" w:lineRule="auto"/>
                    <w:jc w:val="left"/>
                    <w:rPr>
                      <w:color w:val="auto"/>
                      <w:sz w:val="24"/>
                      <w:szCs w:val="24"/>
                    </w:rPr>
                  </w:pPr>
                  <w:r>
                    <w:rPr>
                      <w:color w:val="auto"/>
                      <w:sz w:val="24"/>
                      <w:szCs w:val="24"/>
                    </w:rPr>
                    <w:t>O saldo de cada item, entre “QTD TOTAL PARA REGISTRO” - “QTD INICIAL DE</w:t>
                  </w:r>
                </w:p>
                <w:p w14:paraId="15D7743F" w14:textId="54B92768" w:rsidR="007E3741" w:rsidRDefault="007E3741" w:rsidP="007E3741">
                  <w:pPr>
                    <w:pStyle w:val="PargrafodaLista"/>
                    <w:tabs>
                      <w:tab w:val="left" w:pos="320"/>
                    </w:tabs>
                    <w:autoSpaceDE w:val="0"/>
                    <w:autoSpaceDN w:val="0"/>
                    <w:adjustRightInd w:val="0"/>
                    <w:spacing w:after="0" w:line="240" w:lineRule="auto"/>
                    <w:ind w:left="4320" w:firstLine="0"/>
                    <w:jc w:val="left"/>
                    <w:rPr>
                      <w:color w:val="auto"/>
                      <w:sz w:val="24"/>
                      <w:szCs w:val="24"/>
                    </w:rPr>
                  </w:pPr>
                  <w:r>
                    <w:rPr>
                      <w:color w:val="auto"/>
                      <w:sz w:val="24"/>
                      <w:szCs w:val="24"/>
                    </w:rPr>
                    <w:t>AQUISIÇÃO”, poderá, a exclusivo critério do Sebrae, sob demanda, ser adquirido para</w:t>
                  </w:r>
                  <w:r w:rsidR="0023791A">
                    <w:rPr>
                      <w:color w:val="auto"/>
                      <w:sz w:val="24"/>
                      <w:szCs w:val="24"/>
                    </w:rPr>
                    <w:t xml:space="preserve"> </w:t>
                  </w:r>
                  <w:r>
                    <w:rPr>
                      <w:color w:val="auto"/>
                      <w:sz w:val="24"/>
                      <w:szCs w:val="24"/>
                    </w:rPr>
                    <w:t>completar a solução durante a vigência da Ata de Registro de Preços e/ou Contrato.</w:t>
                  </w:r>
                </w:p>
                <w:p w14:paraId="05934A64"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t>A coluna “VALOR UNITÁRIO” expressa o valor unitário do item.</w:t>
                  </w:r>
                </w:p>
                <w:p w14:paraId="7E9985F6" w14:textId="77777777" w:rsidR="007E3741" w:rsidRDefault="007E3741" w:rsidP="007E3741">
                  <w:pPr>
                    <w:pStyle w:val="PargrafodaLista"/>
                    <w:numPr>
                      <w:ilvl w:val="3"/>
                      <w:numId w:val="6"/>
                    </w:numPr>
                    <w:tabs>
                      <w:tab w:val="left" w:pos="320"/>
                    </w:tabs>
                    <w:autoSpaceDE w:val="0"/>
                    <w:autoSpaceDN w:val="0"/>
                    <w:adjustRightInd w:val="0"/>
                    <w:spacing w:after="0" w:line="240" w:lineRule="auto"/>
                    <w:jc w:val="left"/>
                    <w:rPr>
                      <w:color w:val="auto"/>
                      <w:sz w:val="24"/>
                      <w:szCs w:val="24"/>
                    </w:rPr>
                  </w:pPr>
                  <w:r>
                    <w:rPr>
                      <w:color w:val="auto"/>
                      <w:sz w:val="24"/>
                      <w:szCs w:val="24"/>
                    </w:rPr>
                    <w:t xml:space="preserve"> A coluna “VALOR TOTAL” expressa o valor total do item, obtido pela multiplicação da QTD TOTAL PARA REGISTRO x VALOR UNITÁRIO.</w:t>
                  </w:r>
                </w:p>
                <w:p w14:paraId="6A4B45FA"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3FC55434"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6C05215B"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207F5A55"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6CCEC78B"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08F5ECD2" w14:textId="77777777" w:rsidR="007E3741" w:rsidRDefault="007E3741" w:rsidP="007E3741">
                  <w:pPr>
                    <w:tabs>
                      <w:tab w:val="left" w:pos="320"/>
                    </w:tabs>
                    <w:autoSpaceDE w:val="0"/>
                    <w:autoSpaceDN w:val="0"/>
                    <w:adjustRightInd w:val="0"/>
                    <w:spacing w:after="0" w:line="240" w:lineRule="auto"/>
                    <w:jc w:val="left"/>
                    <w:rPr>
                      <w:color w:val="auto"/>
                      <w:sz w:val="24"/>
                      <w:szCs w:val="24"/>
                    </w:rPr>
                  </w:pPr>
                </w:p>
                <w:p w14:paraId="33DEC7E7" w14:textId="77777777" w:rsidR="007E3741" w:rsidRPr="007E3741" w:rsidRDefault="007E3741" w:rsidP="007E3741">
                  <w:pPr>
                    <w:tabs>
                      <w:tab w:val="left" w:pos="320"/>
                    </w:tabs>
                    <w:autoSpaceDE w:val="0"/>
                    <w:autoSpaceDN w:val="0"/>
                    <w:adjustRightInd w:val="0"/>
                    <w:spacing w:after="0" w:line="240" w:lineRule="auto"/>
                    <w:jc w:val="left"/>
                    <w:rPr>
                      <w:color w:val="auto"/>
                      <w:sz w:val="24"/>
                      <w:szCs w:val="24"/>
                    </w:rPr>
                  </w:pPr>
                </w:p>
                <w:p w14:paraId="62B531F1" w14:textId="77777777" w:rsidR="007E3741" w:rsidRDefault="007E3741" w:rsidP="007E3741">
                  <w:pPr>
                    <w:tabs>
                      <w:tab w:val="left" w:pos="320"/>
                    </w:tabs>
                    <w:autoSpaceDE w:val="0"/>
                    <w:autoSpaceDN w:val="0"/>
                    <w:adjustRightInd w:val="0"/>
                    <w:spacing w:after="0" w:line="240" w:lineRule="auto"/>
                    <w:ind w:left="1440" w:firstLine="0"/>
                    <w:jc w:val="left"/>
                    <w:rPr>
                      <w:color w:val="auto"/>
                      <w:sz w:val="24"/>
                      <w:szCs w:val="24"/>
                    </w:rPr>
                  </w:pPr>
                </w:p>
                <w:p w14:paraId="5C49C2E4" w14:textId="77777777" w:rsidR="007E3741" w:rsidRDefault="007E3741" w:rsidP="007E3741">
                  <w:pPr>
                    <w:pStyle w:val="PargrafodaLista"/>
                    <w:numPr>
                      <w:ilvl w:val="0"/>
                      <w:numId w:val="6"/>
                    </w:numPr>
                    <w:tabs>
                      <w:tab w:val="left" w:pos="320"/>
                    </w:tabs>
                    <w:spacing w:after="0" w:line="240" w:lineRule="auto"/>
                    <w:jc w:val="left"/>
                    <w:rPr>
                      <w:b/>
                      <w:bCs/>
                      <w:color w:val="auto"/>
                      <w:sz w:val="24"/>
                      <w:szCs w:val="24"/>
                    </w:rPr>
                  </w:pPr>
                  <w:r>
                    <w:rPr>
                      <w:b/>
                      <w:bCs/>
                      <w:color w:val="auto"/>
                      <w:sz w:val="24"/>
                      <w:szCs w:val="24"/>
                    </w:rPr>
                    <w:lastRenderedPageBreak/>
                    <w:t>Do cronograma de entrega, execução e pagamento</w:t>
                  </w:r>
                </w:p>
                <w:p w14:paraId="14C68497" w14:textId="77777777" w:rsidR="007E3741" w:rsidRDefault="007E3741" w:rsidP="007E3741">
                  <w:pPr>
                    <w:tabs>
                      <w:tab w:val="left" w:pos="320"/>
                    </w:tabs>
                    <w:autoSpaceDE w:val="0"/>
                    <w:autoSpaceDN w:val="0"/>
                    <w:adjustRightInd w:val="0"/>
                    <w:spacing w:after="0" w:line="240" w:lineRule="auto"/>
                    <w:ind w:left="1440" w:firstLine="0"/>
                    <w:jc w:val="left"/>
                    <w:rPr>
                      <w:color w:val="auto"/>
                      <w:sz w:val="24"/>
                      <w:szCs w:val="24"/>
                    </w:rPr>
                  </w:pPr>
                </w:p>
                <w:tbl>
                  <w:tblPr>
                    <w:tblW w:w="8679" w:type="dxa"/>
                    <w:tblCellMar>
                      <w:left w:w="70" w:type="dxa"/>
                      <w:right w:w="70" w:type="dxa"/>
                    </w:tblCellMar>
                    <w:tblLook w:val="04A0" w:firstRow="1" w:lastRow="0" w:firstColumn="1" w:lastColumn="0" w:noHBand="0" w:noVBand="1"/>
                  </w:tblPr>
                  <w:tblGrid>
                    <w:gridCol w:w="874"/>
                    <w:gridCol w:w="3836"/>
                    <w:gridCol w:w="2410"/>
                    <w:gridCol w:w="1559"/>
                  </w:tblGrid>
                  <w:tr w:rsidR="007E3741" w14:paraId="38ED72EC" w14:textId="77777777">
                    <w:trPr>
                      <w:trHeight w:val="288"/>
                    </w:trPr>
                    <w:tc>
                      <w:tcPr>
                        <w:tcW w:w="87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ED94D94"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Evento</w:t>
                        </w:r>
                      </w:p>
                    </w:tc>
                    <w:tc>
                      <w:tcPr>
                        <w:tcW w:w="3836" w:type="dxa"/>
                        <w:tcBorders>
                          <w:top w:val="single" w:sz="4" w:space="0" w:color="auto"/>
                          <w:left w:val="nil"/>
                          <w:bottom w:val="single" w:sz="4" w:space="0" w:color="auto"/>
                          <w:right w:val="single" w:sz="4" w:space="0" w:color="auto"/>
                        </w:tcBorders>
                        <w:shd w:val="clear" w:color="auto" w:fill="D9D9D9"/>
                        <w:noWrap/>
                        <w:vAlign w:val="bottom"/>
                        <w:hideMark/>
                      </w:tcPr>
                      <w:p w14:paraId="1181ED80"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Descrição do Evento</w:t>
                        </w:r>
                      </w:p>
                    </w:tc>
                    <w:tc>
                      <w:tcPr>
                        <w:tcW w:w="2410" w:type="dxa"/>
                        <w:tcBorders>
                          <w:top w:val="single" w:sz="4" w:space="0" w:color="auto"/>
                          <w:left w:val="nil"/>
                          <w:bottom w:val="single" w:sz="4" w:space="0" w:color="auto"/>
                          <w:right w:val="single" w:sz="4" w:space="0" w:color="auto"/>
                        </w:tcBorders>
                        <w:shd w:val="clear" w:color="auto" w:fill="D9D9D9"/>
                        <w:noWrap/>
                        <w:vAlign w:val="bottom"/>
                        <w:hideMark/>
                      </w:tcPr>
                      <w:p w14:paraId="40810CF5"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 xml:space="preserve"> Prazo Máximo</w:t>
                        </w:r>
                      </w:p>
                    </w:tc>
                    <w:tc>
                      <w:tcPr>
                        <w:tcW w:w="1559" w:type="dxa"/>
                        <w:tcBorders>
                          <w:top w:val="single" w:sz="4" w:space="0" w:color="auto"/>
                          <w:left w:val="nil"/>
                          <w:bottom w:val="single" w:sz="4" w:space="0" w:color="auto"/>
                          <w:right w:val="single" w:sz="4" w:space="0" w:color="auto"/>
                        </w:tcBorders>
                        <w:shd w:val="clear" w:color="auto" w:fill="D9D9D9"/>
                        <w:noWrap/>
                        <w:vAlign w:val="bottom"/>
                        <w:hideMark/>
                      </w:tcPr>
                      <w:p w14:paraId="31DAFB75"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 a pagar</w:t>
                        </w:r>
                      </w:p>
                    </w:tc>
                  </w:tr>
                  <w:tr w:rsidR="007E3741" w14:paraId="57AA0775" w14:textId="77777777">
                    <w:trPr>
                      <w:trHeight w:val="288"/>
                    </w:trPr>
                    <w:tc>
                      <w:tcPr>
                        <w:tcW w:w="874" w:type="dxa"/>
                        <w:tcBorders>
                          <w:top w:val="nil"/>
                          <w:left w:val="single" w:sz="4" w:space="0" w:color="auto"/>
                          <w:bottom w:val="single" w:sz="4" w:space="0" w:color="auto"/>
                          <w:right w:val="single" w:sz="4" w:space="0" w:color="auto"/>
                        </w:tcBorders>
                        <w:noWrap/>
                        <w:vAlign w:val="bottom"/>
                        <w:hideMark/>
                      </w:tcPr>
                      <w:p w14:paraId="085EA327"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1</w:t>
                        </w:r>
                      </w:p>
                    </w:tc>
                    <w:tc>
                      <w:tcPr>
                        <w:tcW w:w="3836" w:type="dxa"/>
                        <w:tcBorders>
                          <w:top w:val="nil"/>
                          <w:left w:val="nil"/>
                          <w:bottom w:val="single" w:sz="4" w:space="0" w:color="auto"/>
                          <w:right w:val="single" w:sz="4" w:space="0" w:color="auto"/>
                        </w:tcBorders>
                        <w:noWrap/>
                        <w:vAlign w:val="bottom"/>
                        <w:hideMark/>
                      </w:tcPr>
                      <w:p w14:paraId="31A5B35C"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Assinatura do contrato. </w:t>
                        </w:r>
                      </w:p>
                    </w:tc>
                    <w:tc>
                      <w:tcPr>
                        <w:tcW w:w="2410" w:type="dxa"/>
                        <w:tcBorders>
                          <w:top w:val="nil"/>
                          <w:left w:val="nil"/>
                          <w:bottom w:val="single" w:sz="4" w:space="0" w:color="auto"/>
                          <w:right w:val="single" w:sz="4" w:space="0" w:color="auto"/>
                        </w:tcBorders>
                        <w:noWrap/>
                        <w:vAlign w:val="bottom"/>
                        <w:hideMark/>
                      </w:tcPr>
                      <w:p w14:paraId="3CDE9FFF"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Dia D </w:t>
                        </w:r>
                      </w:p>
                    </w:tc>
                    <w:tc>
                      <w:tcPr>
                        <w:tcW w:w="1559" w:type="dxa"/>
                        <w:tcBorders>
                          <w:top w:val="nil"/>
                          <w:left w:val="nil"/>
                          <w:bottom w:val="single" w:sz="4" w:space="0" w:color="auto"/>
                          <w:right w:val="single" w:sz="4" w:space="0" w:color="auto"/>
                        </w:tcBorders>
                        <w:noWrap/>
                        <w:vAlign w:val="bottom"/>
                        <w:hideMark/>
                      </w:tcPr>
                      <w:p w14:paraId="43ACCFBB"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0%</w:t>
                        </w:r>
                      </w:p>
                    </w:tc>
                  </w:tr>
                  <w:tr w:rsidR="007E3741" w14:paraId="3FDB4770" w14:textId="77777777">
                    <w:trPr>
                      <w:trHeight w:val="864"/>
                    </w:trPr>
                    <w:tc>
                      <w:tcPr>
                        <w:tcW w:w="874" w:type="dxa"/>
                        <w:tcBorders>
                          <w:top w:val="nil"/>
                          <w:left w:val="single" w:sz="4" w:space="0" w:color="auto"/>
                          <w:bottom w:val="single" w:sz="4" w:space="0" w:color="auto"/>
                          <w:right w:val="single" w:sz="4" w:space="0" w:color="auto"/>
                        </w:tcBorders>
                        <w:noWrap/>
                        <w:vAlign w:val="bottom"/>
                        <w:hideMark/>
                      </w:tcPr>
                      <w:p w14:paraId="30ECFB22"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2</w:t>
                        </w:r>
                      </w:p>
                    </w:tc>
                    <w:tc>
                      <w:tcPr>
                        <w:tcW w:w="3836" w:type="dxa"/>
                        <w:tcBorders>
                          <w:top w:val="nil"/>
                          <w:left w:val="nil"/>
                          <w:bottom w:val="single" w:sz="4" w:space="0" w:color="auto"/>
                          <w:right w:val="single" w:sz="4" w:space="0" w:color="auto"/>
                        </w:tcBorders>
                        <w:noWrap/>
                        <w:vAlign w:val="bottom"/>
                        <w:hideMark/>
                      </w:tcPr>
                      <w:p w14:paraId="0E6B02D9"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Reunião Inicial e emissão de Ordem de Serviços. </w:t>
                        </w:r>
                      </w:p>
                    </w:tc>
                    <w:tc>
                      <w:tcPr>
                        <w:tcW w:w="2410" w:type="dxa"/>
                        <w:tcBorders>
                          <w:top w:val="nil"/>
                          <w:left w:val="nil"/>
                          <w:bottom w:val="single" w:sz="4" w:space="0" w:color="auto"/>
                          <w:right w:val="single" w:sz="4" w:space="0" w:color="auto"/>
                        </w:tcBorders>
                        <w:vAlign w:val="bottom"/>
                        <w:hideMark/>
                      </w:tcPr>
                      <w:p w14:paraId="3A58FADA"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Dia D1, sendo D1 conforme demanda da CONTRATANTE </w:t>
                        </w:r>
                      </w:p>
                    </w:tc>
                    <w:tc>
                      <w:tcPr>
                        <w:tcW w:w="1559" w:type="dxa"/>
                        <w:tcBorders>
                          <w:top w:val="nil"/>
                          <w:left w:val="nil"/>
                          <w:bottom w:val="single" w:sz="4" w:space="0" w:color="auto"/>
                          <w:right w:val="single" w:sz="4" w:space="0" w:color="auto"/>
                        </w:tcBorders>
                        <w:noWrap/>
                        <w:vAlign w:val="bottom"/>
                        <w:hideMark/>
                      </w:tcPr>
                      <w:p w14:paraId="029C43A2"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0%</w:t>
                        </w:r>
                      </w:p>
                    </w:tc>
                  </w:tr>
                  <w:tr w:rsidR="007E3741" w14:paraId="46019E5F" w14:textId="77777777">
                    <w:trPr>
                      <w:trHeight w:val="288"/>
                    </w:trPr>
                    <w:tc>
                      <w:tcPr>
                        <w:tcW w:w="874" w:type="dxa"/>
                        <w:tcBorders>
                          <w:top w:val="nil"/>
                          <w:left w:val="single" w:sz="4" w:space="0" w:color="auto"/>
                          <w:bottom w:val="single" w:sz="4" w:space="0" w:color="auto"/>
                          <w:right w:val="single" w:sz="4" w:space="0" w:color="auto"/>
                        </w:tcBorders>
                        <w:noWrap/>
                        <w:vAlign w:val="bottom"/>
                        <w:hideMark/>
                      </w:tcPr>
                      <w:p w14:paraId="5A506642"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3</w:t>
                        </w:r>
                      </w:p>
                    </w:tc>
                    <w:tc>
                      <w:tcPr>
                        <w:tcW w:w="3836" w:type="dxa"/>
                        <w:tcBorders>
                          <w:top w:val="nil"/>
                          <w:left w:val="nil"/>
                          <w:bottom w:val="single" w:sz="4" w:space="0" w:color="auto"/>
                          <w:right w:val="single" w:sz="4" w:space="0" w:color="auto"/>
                        </w:tcBorders>
                        <w:noWrap/>
                        <w:vAlign w:val="bottom"/>
                        <w:hideMark/>
                      </w:tcPr>
                      <w:p w14:paraId="596FE943"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Entrega do Projeto Executivo de Instalação – PEI. </w:t>
                        </w:r>
                      </w:p>
                    </w:tc>
                    <w:tc>
                      <w:tcPr>
                        <w:tcW w:w="2410" w:type="dxa"/>
                        <w:tcBorders>
                          <w:top w:val="nil"/>
                          <w:left w:val="nil"/>
                          <w:bottom w:val="single" w:sz="4" w:space="0" w:color="auto"/>
                          <w:right w:val="single" w:sz="4" w:space="0" w:color="auto"/>
                        </w:tcBorders>
                        <w:noWrap/>
                        <w:vAlign w:val="bottom"/>
                        <w:hideMark/>
                      </w:tcPr>
                      <w:p w14:paraId="35548FC6"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D2 = D1 + 30 dias </w:t>
                        </w:r>
                      </w:p>
                    </w:tc>
                    <w:tc>
                      <w:tcPr>
                        <w:tcW w:w="1559" w:type="dxa"/>
                        <w:tcBorders>
                          <w:top w:val="nil"/>
                          <w:left w:val="nil"/>
                          <w:bottom w:val="single" w:sz="4" w:space="0" w:color="auto"/>
                          <w:right w:val="single" w:sz="4" w:space="0" w:color="auto"/>
                        </w:tcBorders>
                        <w:noWrap/>
                        <w:vAlign w:val="bottom"/>
                        <w:hideMark/>
                      </w:tcPr>
                      <w:p w14:paraId="081C7001"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0%</w:t>
                        </w:r>
                      </w:p>
                    </w:tc>
                  </w:tr>
                  <w:tr w:rsidR="007E3741" w14:paraId="12981CEB" w14:textId="77777777">
                    <w:trPr>
                      <w:trHeight w:val="1152"/>
                    </w:trPr>
                    <w:tc>
                      <w:tcPr>
                        <w:tcW w:w="874" w:type="dxa"/>
                        <w:tcBorders>
                          <w:top w:val="nil"/>
                          <w:left w:val="single" w:sz="4" w:space="0" w:color="auto"/>
                          <w:bottom w:val="single" w:sz="4" w:space="0" w:color="auto"/>
                          <w:right w:val="single" w:sz="4" w:space="0" w:color="auto"/>
                        </w:tcBorders>
                        <w:noWrap/>
                        <w:vAlign w:val="bottom"/>
                        <w:hideMark/>
                      </w:tcPr>
                      <w:p w14:paraId="47256B58"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4</w:t>
                        </w:r>
                      </w:p>
                    </w:tc>
                    <w:tc>
                      <w:tcPr>
                        <w:tcW w:w="3836" w:type="dxa"/>
                        <w:tcBorders>
                          <w:top w:val="nil"/>
                          <w:left w:val="nil"/>
                          <w:bottom w:val="single" w:sz="4" w:space="0" w:color="auto"/>
                          <w:right w:val="single" w:sz="4" w:space="0" w:color="auto"/>
                        </w:tcBorders>
                        <w:vAlign w:val="bottom"/>
                        <w:hideMark/>
                      </w:tcPr>
                      <w:p w14:paraId="0193D7BA"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Entrega dos itens de produtos de hardware e software, conforme OFB – Ordens de Fornecimento, quando demandado pelo Sebrae.</w:t>
                        </w:r>
                        <w:r>
                          <w:rPr>
                            <w:rFonts w:ascii="Aptos Narrow" w:eastAsia="Times New Roman" w:hAnsi="Aptos Narrow" w:cs="Times New Roman"/>
                            <w:color w:val="000000"/>
                            <w:kern w:val="0"/>
                            <w:lang w:eastAsia="pt-BR"/>
                          </w:rPr>
                          <w:br/>
                          <w:t xml:space="preserve"> Dar-se-á o início da garantia e suporte técnico após a emissão do TRD da execução da OFB de entrega de produtos. </w:t>
                        </w:r>
                      </w:p>
                    </w:tc>
                    <w:tc>
                      <w:tcPr>
                        <w:tcW w:w="2410" w:type="dxa"/>
                        <w:tcBorders>
                          <w:top w:val="nil"/>
                          <w:left w:val="nil"/>
                          <w:bottom w:val="single" w:sz="4" w:space="0" w:color="auto"/>
                          <w:right w:val="single" w:sz="4" w:space="0" w:color="auto"/>
                        </w:tcBorders>
                        <w:noWrap/>
                        <w:vAlign w:val="bottom"/>
                        <w:hideMark/>
                      </w:tcPr>
                      <w:p w14:paraId="1FC7BC5C"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D3 = D1 + 120 dias </w:t>
                        </w:r>
                      </w:p>
                    </w:tc>
                    <w:tc>
                      <w:tcPr>
                        <w:tcW w:w="1559" w:type="dxa"/>
                        <w:tcBorders>
                          <w:top w:val="nil"/>
                          <w:left w:val="nil"/>
                          <w:bottom w:val="single" w:sz="4" w:space="0" w:color="auto"/>
                          <w:right w:val="single" w:sz="4" w:space="0" w:color="auto"/>
                        </w:tcBorders>
                        <w:vAlign w:val="bottom"/>
                        <w:hideMark/>
                      </w:tcPr>
                      <w:p w14:paraId="4C91DB55"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100% do valor total da OFB executada. </w:t>
                        </w:r>
                      </w:p>
                    </w:tc>
                  </w:tr>
                  <w:tr w:rsidR="007E3741" w14:paraId="5B00490C" w14:textId="77777777">
                    <w:trPr>
                      <w:trHeight w:val="1152"/>
                    </w:trPr>
                    <w:tc>
                      <w:tcPr>
                        <w:tcW w:w="874" w:type="dxa"/>
                        <w:tcBorders>
                          <w:top w:val="nil"/>
                          <w:left w:val="single" w:sz="4" w:space="0" w:color="auto"/>
                          <w:bottom w:val="single" w:sz="4" w:space="0" w:color="auto"/>
                          <w:right w:val="single" w:sz="4" w:space="0" w:color="auto"/>
                        </w:tcBorders>
                        <w:noWrap/>
                        <w:vAlign w:val="bottom"/>
                        <w:hideMark/>
                      </w:tcPr>
                      <w:p w14:paraId="709A14AC"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5</w:t>
                        </w:r>
                      </w:p>
                    </w:tc>
                    <w:tc>
                      <w:tcPr>
                        <w:tcW w:w="3836" w:type="dxa"/>
                        <w:tcBorders>
                          <w:top w:val="nil"/>
                          <w:left w:val="nil"/>
                          <w:bottom w:val="single" w:sz="4" w:space="0" w:color="auto"/>
                          <w:right w:val="single" w:sz="4" w:space="0" w:color="auto"/>
                        </w:tcBorders>
                        <w:vAlign w:val="bottom"/>
                        <w:hideMark/>
                      </w:tcPr>
                      <w:p w14:paraId="6217F841"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Execução dos itens de serviços referentes a Instalação da solução, conforme OS – Ordens de Serviço, quando demandado pelo Sebrae.  As OS (ordens de Serviço) para instalação serão emitidas após a entrega dos produtos. </w:t>
                        </w:r>
                      </w:p>
                    </w:tc>
                    <w:tc>
                      <w:tcPr>
                        <w:tcW w:w="2410" w:type="dxa"/>
                        <w:tcBorders>
                          <w:top w:val="nil"/>
                          <w:left w:val="nil"/>
                          <w:bottom w:val="single" w:sz="4" w:space="0" w:color="auto"/>
                          <w:right w:val="single" w:sz="4" w:space="0" w:color="auto"/>
                        </w:tcBorders>
                        <w:noWrap/>
                        <w:vAlign w:val="bottom"/>
                        <w:hideMark/>
                      </w:tcPr>
                      <w:p w14:paraId="4C9BB37F"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D4 = D3 + 60 dias </w:t>
                        </w:r>
                      </w:p>
                    </w:tc>
                    <w:tc>
                      <w:tcPr>
                        <w:tcW w:w="1559" w:type="dxa"/>
                        <w:tcBorders>
                          <w:top w:val="nil"/>
                          <w:left w:val="nil"/>
                          <w:bottom w:val="single" w:sz="4" w:space="0" w:color="auto"/>
                          <w:right w:val="single" w:sz="4" w:space="0" w:color="auto"/>
                        </w:tcBorders>
                        <w:vAlign w:val="bottom"/>
                        <w:hideMark/>
                      </w:tcPr>
                      <w:p w14:paraId="0C41FFD5"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100% do valor total da OS executada.</w:t>
                        </w:r>
                      </w:p>
                    </w:tc>
                  </w:tr>
                  <w:tr w:rsidR="007E3741" w14:paraId="5128D7C5" w14:textId="77777777">
                    <w:trPr>
                      <w:trHeight w:val="288"/>
                    </w:trPr>
                    <w:tc>
                      <w:tcPr>
                        <w:tcW w:w="874" w:type="dxa"/>
                        <w:tcBorders>
                          <w:top w:val="nil"/>
                          <w:left w:val="single" w:sz="4" w:space="0" w:color="auto"/>
                          <w:bottom w:val="single" w:sz="4" w:space="0" w:color="auto"/>
                          <w:right w:val="single" w:sz="4" w:space="0" w:color="auto"/>
                        </w:tcBorders>
                        <w:shd w:val="clear" w:color="auto" w:fill="D9D9D9"/>
                        <w:noWrap/>
                        <w:vAlign w:val="bottom"/>
                        <w:hideMark/>
                      </w:tcPr>
                      <w:p w14:paraId="34FF33D1"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Evento1</w:t>
                        </w:r>
                      </w:p>
                    </w:tc>
                    <w:tc>
                      <w:tcPr>
                        <w:tcW w:w="3836" w:type="dxa"/>
                        <w:tcBorders>
                          <w:top w:val="nil"/>
                          <w:left w:val="nil"/>
                          <w:bottom w:val="single" w:sz="4" w:space="0" w:color="auto"/>
                          <w:right w:val="single" w:sz="4" w:space="0" w:color="auto"/>
                        </w:tcBorders>
                        <w:shd w:val="clear" w:color="auto" w:fill="D9D9D9"/>
                        <w:noWrap/>
                        <w:vAlign w:val="bottom"/>
                        <w:hideMark/>
                      </w:tcPr>
                      <w:p w14:paraId="3D73A654"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Descrição do Evento</w:t>
                        </w:r>
                      </w:p>
                    </w:tc>
                    <w:tc>
                      <w:tcPr>
                        <w:tcW w:w="2410" w:type="dxa"/>
                        <w:tcBorders>
                          <w:top w:val="nil"/>
                          <w:left w:val="nil"/>
                          <w:bottom w:val="single" w:sz="4" w:space="0" w:color="auto"/>
                          <w:right w:val="single" w:sz="4" w:space="0" w:color="auto"/>
                        </w:tcBorders>
                        <w:shd w:val="clear" w:color="auto" w:fill="D9D9D9"/>
                        <w:noWrap/>
                        <w:vAlign w:val="bottom"/>
                        <w:hideMark/>
                      </w:tcPr>
                      <w:p w14:paraId="18C0B059"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Prazo Máximo</w:t>
                        </w:r>
                      </w:p>
                    </w:tc>
                    <w:tc>
                      <w:tcPr>
                        <w:tcW w:w="1559" w:type="dxa"/>
                        <w:tcBorders>
                          <w:top w:val="nil"/>
                          <w:left w:val="nil"/>
                          <w:bottom w:val="single" w:sz="4" w:space="0" w:color="auto"/>
                          <w:right w:val="single" w:sz="4" w:space="0" w:color="auto"/>
                        </w:tcBorders>
                        <w:shd w:val="clear" w:color="auto" w:fill="D9D9D9"/>
                        <w:noWrap/>
                        <w:vAlign w:val="bottom"/>
                        <w:hideMark/>
                      </w:tcPr>
                      <w:p w14:paraId="3339F2EA" w14:textId="77777777" w:rsidR="007E3741" w:rsidRDefault="007E3741" w:rsidP="007E3741">
                        <w:pPr>
                          <w:spacing w:after="0" w:line="240" w:lineRule="auto"/>
                          <w:ind w:firstLine="0"/>
                          <w:jc w:val="left"/>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 a pagar</w:t>
                        </w:r>
                      </w:p>
                    </w:tc>
                  </w:tr>
                  <w:tr w:rsidR="007E3741" w14:paraId="488A8F66" w14:textId="77777777">
                    <w:trPr>
                      <w:trHeight w:val="1440"/>
                    </w:trPr>
                    <w:tc>
                      <w:tcPr>
                        <w:tcW w:w="874" w:type="dxa"/>
                        <w:tcBorders>
                          <w:top w:val="nil"/>
                          <w:left w:val="single" w:sz="4" w:space="0" w:color="auto"/>
                          <w:bottom w:val="single" w:sz="4" w:space="0" w:color="auto"/>
                          <w:right w:val="single" w:sz="4" w:space="0" w:color="auto"/>
                        </w:tcBorders>
                        <w:noWrap/>
                        <w:vAlign w:val="bottom"/>
                        <w:hideMark/>
                      </w:tcPr>
                      <w:p w14:paraId="26EA7576"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7</w:t>
                        </w:r>
                      </w:p>
                    </w:tc>
                    <w:tc>
                      <w:tcPr>
                        <w:tcW w:w="3836" w:type="dxa"/>
                        <w:tcBorders>
                          <w:top w:val="nil"/>
                          <w:left w:val="nil"/>
                          <w:bottom w:val="single" w:sz="4" w:space="0" w:color="auto"/>
                          <w:right w:val="single" w:sz="4" w:space="0" w:color="auto"/>
                        </w:tcBorders>
                        <w:vAlign w:val="bottom"/>
                        <w:hideMark/>
                      </w:tcPr>
                      <w:p w14:paraId="0BA901FE"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Execução dos itens de serviços referentes ao apoio técnico especializado da solução, conforme OS – Ordens de Serviço, quando demandado pelo Sebrae. </w:t>
                        </w:r>
                        <w:r>
                          <w:rPr>
                            <w:rFonts w:ascii="Aptos Narrow" w:eastAsia="Times New Roman" w:hAnsi="Aptos Narrow" w:cs="Times New Roman"/>
                            <w:color w:val="000000"/>
                            <w:kern w:val="0"/>
                            <w:lang w:eastAsia="pt-BR"/>
                          </w:rPr>
                          <w:br/>
                          <w:t xml:space="preserve">As OS (ordens de Serviço) para o apoio técnico especializado serão emitidas após a instalação dos produtos. </w:t>
                        </w:r>
                      </w:p>
                    </w:tc>
                    <w:tc>
                      <w:tcPr>
                        <w:tcW w:w="2410" w:type="dxa"/>
                        <w:tcBorders>
                          <w:top w:val="nil"/>
                          <w:left w:val="nil"/>
                          <w:bottom w:val="single" w:sz="4" w:space="0" w:color="auto"/>
                          <w:right w:val="single" w:sz="4" w:space="0" w:color="auto"/>
                        </w:tcBorders>
                        <w:vAlign w:val="bottom"/>
                        <w:hideMark/>
                      </w:tcPr>
                      <w:p w14:paraId="6DBE23BE"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D5 = D4 + 30 dias e sucessivamente em ciclos de 30 dias. </w:t>
                        </w:r>
                      </w:p>
                    </w:tc>
                    <w:tc>
                      <w:tcPr>
                        <w:tcW w:w="1559" w:type="dxa"/>
                        <w:tcBorders>
                          <w:top w:val="nil"/>
                          <w:left w:val="nil"/>
                          <w:bottom w:val="single" w:sz="4" w:space="0" w:color="auto"/>
                          <w:right w:val="single" w:sz="4" w:space="0" w:color="auto"/>
                        </w:tcBorders>
                        <w:vAlign w:val="bottom"/>
                        <w:hideMark/>
                      </w:tcPr>
                      <w:p w14:paraId="326E3240"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100% do valor total da OS executada.</w:t>
                        </w:r>
                      </w:p>
                    </w:tc>
                  </w:tr>
                  <w:tr w:rsidR="007E3741" w14:paraId="71E3A7F7" w14:textId="77777777">
                    <w:trPr>
                      <w:trHeight w:val="1440"/>
                    </w:trPr>
                    <w:tc>
                      <w:tcPr>
                        <w:tcW w:w="874" w:type="dxa"/>
                        <w:tcBorders>
                          <w:top w:val="nil"/>
                          <w:left w:val="single" w:sz="4" w:space="0" w:color="auto"/>
                          <w:bottom w:val="single" w:sz="4" w:space="0" w:color="auto"/>
                          <w:right w:val="single" w:sz="4" w:space="0" w:color="auto"/>
                        </w:tcBorders>
                        <w:noWrap/>
                        <w:vAlign w:val="bottom"/>
                        <w:hideMark/>
                      </w:tcPr>
                      <w:p w14:paraId="06AC2735" w14:textId="77777777" w:rsidR="007E3741" w:rsidRDefault="007E3741" w:rsidP="007E3741">
                        <w:pPr>
                          <w:spacing w:after="0" w:line="240" w:lineRule="auto"/>
                          <w:ind w:firstLine="0"/>
                          <w:jc w:val="righ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lastRenderedPageBreak/>
                          <w:t>8</w:t>
                        </w:r>
                      </w:p>
                    </w:tc>
                    <w:tc>
                      <w:tcPr>
                        <w:tcW w:w="3836" w:type="dxa"/>
                        <w:tcBorders>
                          <w:top w:val="nil"/>
                          <w:left w:val="nil"/>
                          <w:bottom w:val="single" w:sz="4" w:space="0" w:color="auto"/>
                          <w:right w:val="single" w:sz="4" w:space="0" w:color="auto"/>
                        </w:tcBorders>
                        <w:vAlign w:val="bottom"/>
                        <w:hideMark/>
                      </w:tcPr>
                      <w:p w14:paraId="1568C5FE"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Ativação da subscrição para extensão de garantia da solução atual, conforme TABELA 02, conforme OS – Ordens de Serviço, quando demandado pelo Sebrae. </w:t>
                        </w:r>
                        <w:r>
                          <w:rPr>
                            <w:rFonts w:ascii="Aptos Narrow" w:eastAsia="Times New Roman" w:hAnsi="Aptos Narrow" w:cs="Times New Roman"/>
                            <w:color w:val="000000"/>
                            <w:kern w:val="0"/>
                            <w:lang w:eastAsia="pt-BR"/>
                          </w:rPr>
                          <w:br/>
                          <w:t xml:space="preserve">A OS será considerada executada após a ativação do novo período de extensão de garantia. </w:t>
                        </w:r>
                      </w:p>
                    </w:tc>
                    <w:tc>
                      <w:tcPr>
                        <w:tcW w:w="2410" w:type="dxa"/>
                        <w:tcBorders>
                          <w:top w:val="nil"/>
                          <w:left w:val="nil"/>
                          <w:bottom w:val="single" w:sz="4" w:space="0" w:color="auto"/>
                          <w:right w:val="single" w:sz="4" w:space="0" w:color="auto"/>
                        </w:tcBorders>
                        <w:noWrap/>
                        <w:vAlign w:val="bottom"/>
                        <w:hideMark/>
                      </w:tcPr>
                      <w:p w14:paraId="6F805B6A" w14:textId="77777777" w:rsidR="007E3741" w:rsidRDefault="007E3741" w:rsidP="007E3741">
                        <w:pPr>
                          <w:spacing w:after="0" w:line="240" w:lineRule="auto"/>
                          <w:ind w:firstLine="0"/>
                          <w:jc w:val="left"/>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 xml:space="preserve">D6 = D1 + 30 dias. </w:t>
                        </w:r>
                      </w:p>
                    </w:tc>
                    <w:tc>
                      <w:tcPr>
                        <w:tcW w:w="1559" w:type="dxa"/>
                        <w:tcBorders>
                          <w:top w:val="nil"/>
                          <w:left w:val="nil"/>
                          <w:bottom w:val="single" w:sz="4" w:space="0" w:color="auto"/>
                          <w:right w:val="single" w:sz="4" w:space="0" w:color="auto"/>
                        </w:tcBorders>
                        <w:vAlign w:val="bottom"/>
                        <w:hideMark/>
                      </w:tcPr>
                      <w:p w14:paraId="2A3FEFEA" w14:textId="77777777" w:rsidR="007E3741" w:rsidRDefault="007E3741" w:rsidP="007E3741">
                        <w:pPr>
                          <w:spacing w:after="0" w:line="240" w:lineRule="auto"/>
                          <w:ind w:firstLine="0"/>
                          <w:jc w:val="center"/>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100% do valor total da OS executada.</w:t>
                        </w:r>
                      </w:p>
                    </w:tc>
                  </w:tr>
                </w:tbl>
                <w:p w14:paraId="45AFA544" w14:textId="77777777" w:rsidR="007E3741" w:rsidRDefault="007E3741" w:rsidP="007E3741">
                  <w:pPr>
                    <w:pStyle w:val="PargrafodaLista"/>
                    <w:tabs>
                      <w:tab w:val="left" w:pos="320"/>
                    </w:tabs>
                    <w:spacing w:after="0" w:line="240" w:lineRule="auto"/>
                    <w:ind w:left="0" w:firstLine="0"/>
                    <w:jc w:val="left"/>
                    <w:rPr>
                      <w:color w:val="auto"/>
                      <w:sz w:val="24"/>
                      <w:szCs w:val="24"/>
                    </w:rPr>
                  </w:pPr>
                </w:p>
                <w:p w14:paraId="7E640953" w14:textId="77777777" w:rsidR="007E3741" w:rsidRDefault="007E3741" w:rsidP="007E3741">
                  <w:pPr>
                    <w:pStyle w:val="PargrafodaLista"/>
                    <w:numPr>
                      <w:ilvl w:val="1"/>
                      <w:numId w:val="6"/>
                    </w:numPr>
                    <w:tabs>
                      <w:tab w:val="left" w:pos="320"/>
                    </w:tabs>
                    <w:autoSpaceDE w:val="0"/>
                    <w:autoSpaceDN w:val="0"/>
                    <w:adjustRightInd w:val="0"/>
                    <w:spacing w:after="0" w:line="240" w:lineRule="auto"/>
                    <w:jc w:val="left"/>
                    <w:rPr>
                      <w:color w:val="auto"/>
                      <w:sz w:val="24"/>
                      <w:szCs w:val="24"/>
                    </w:rPr>
                  </w:pPr>
                  <w:r>
                    <w:rPr>
                      <w:color w:val="auto"/>
                      <w:sz w:val="24"/>
                      <w:szCs w:val="24"/>
                    </w:rPr>
                    <w:t xml:space="preserve">Não há óbice na antecipação dos prazos de entrega e execução pela CONTRATADA, bem como da antecipação dos prazos de recebimento, aceitação e pagamento da CONTRATANTE desde que obedecidas as demais condições do Edital e seus anexos.  </w:t>
                  </w:r>
                </w:p>
                <w:p w14:paraId="5EC6BD5F" w14:textId="77777777" w:rsidR="007E3741" w:rsidRDefault="007E3741" w:rsidP="007E3741">
                  <w:pPr>
                    <w:pStyle w:val="PargrafodaLista"/>
                    <w:tabs>
                      <w:tab w:val="left" w:pos="320"/>
                    </w:tabs>
                    <w:autoSpaceDE w:val="0"/>
                    <w:autoSpaceDN w:val="0"/>
                    <w:adjustRightInd w:val="0"/>
                    <w:spacing w:after="0" w:line="240" w:lineRule="auto"/>
                    <w:ind w:left="1440" w:firstLine="0"/>
                    <w:jc w:val="left"/>
                    <w:rPr>
                      <w:color w:val="auto"/>
                      <w:sz w:val="24"/>
                      <w:szCs w:val="24"/>
                    </w:rPr>
                  </w:pPr>
                </w:p>
                <w:p w14:paraId="095BC80C" w14:textId="77777777" w:rsidR="007E3741" w:rsidRDefault="007E3741" w:rsidP="007E3741">
                  <w:pPr>
                    <w:pStyle w:val="PargrafodaLista"/>
                    <w:numPr>
                      <w:ilvl w:val="0"/>
                      <w:numId w:val="6"/>
                    </w:numPr>
                    <w:tabs>
                      <w:tab w:val="left" w:pos="320"/>
                    </w:tabs>
                    <w:spacing w:after="0" w:line="240" w:lineRule="auto"/>
                    <w:jc w:val="left"/>
                    <w:rPr>
                      <w:b/>
                      <w:bCs/>
                      <w:color w:val="auto"/>
                      <w:sz w:val="24"/>
                      <w:szCs w:val="24"/>
                    </w:rPr>
                  </w:pPr>
                  <w:r>
                    <w:rPr>
                      <w:b/>
                      <w:bCs/>
                      <w:color w:val="auto"/>
                      <w:sz w:val="24"/>
                      <w:szCs w:val="24"/>
                    </w:rPr>
                    <w:t xml:space="preserve"> Descrição da Solução:</w:t>
                  </w:r>
                </w:p>
                <w:p w14:paraId="2116225E"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A solução hiperconvergente oferece uma abordagem integrada que combina processamento, armazenamento por software, rede e serviços adicionais para atender às necessidades de uma infraestrutura de TI moderna. Em termos de processamento, a solução hiperconvergente deve incluir servidores poderosos que fornecem recursos de computação necessários para executar aplicativos e serviços. Esses servidores são otimizados e certificados para oferecer alto desempenho e eficiência, permitindo a execução de cargas de trabalho exigentes. Em relação ao armazenamento por software, a solução hiperconvergente utiliza tecnologias de armazenamento definido por software para gerenciar e provisionar armazenamento de dados. Isso permite a consolidação de armazenamento em um único sistema, com recursos como replicação, compressão, deduplicação e snapshots para garantir eficiência e proteção dos dados. A solução hiperconvergente também inclui recursos de rede, permitindo a conectividade entre os nós da infraestrutura hiperconvergente e fornecendo a capacidade de tráfego de dados e comunicação eficiente.  </w:t>
                  </w:r>
                </w:p>
                <w:p w14:paraId="693137DA"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Além dos componentes de hardware e software, a solução hiperconvergente deve estar acompanhada de serviços de instalação, testes e ativação. Isso envolve a implantação e configuração adequadas da infraestrutura hiperconvergente, garantindo que todos os componentes estejam funcionando corretamente e integrados entre si. A solução hiperconvergente também é acompanhada de garantia e suporte técnico fornecidos pelo fabricante e fornecedor. A garantia cobre potenciais falhas de hardware, enquanto o suporte técnico está disponível para ajudar com problemas, fornecer orientação, solução de problemas e atualizações de software. O suporte técnico deve ser ofertado por meio de canais como telefone, e-mail ou chat, permitindo que o Sebrae obtenha assistência sempre que necessário. </w:t>
                  </w:r>
                </w:p>
                <w:p w14:paraId="20389FE2"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Nesse norte, deve permitir a proteção e disponibilidade de dados, com cobertura abrangente da infraestrutura do Sebrae Nacional a fim de mitigar riscos e possibilitar a integração entre proteção e disponibilidade de dados. Deve ainda, </w:t>
                  </w:r>
                  <w:r>
                    <w:rPr>
                      <w:color w:val="auto"/>
                      <w:sz w:val="24"/>
                      <w:szCs w:val="24"/>
                    </w:rPr>
                    <w:lastRenderedPageBreak/>
                    <w:t xml:space="preserve">prover proteção contra a manipulação errônea ou perda da informação, gerenciamento do ciclo de vida das informações, bem como painéis de visualização de indicadores de performance e segurança que suporte a tomada de decisões do Sebrae.  </w:t>
                  </w:r>
                </w:p>
                <w:p w14:paraId="375A53FB" w14:textId="77777777" w:rsidR="007E3741" w:rsidRDefault="007E3741" w:rsidP="007E3741">
                  <w:pPr>
                    <w:pStyle w:val="PargrafodaLista"/>
                    <w:tabs>
                      <w:tab w:val="left" w:pos="320"/>
                    </w:tabs>
                    <w:spacing w:after="0" w:line="240" w:lineRule="auto"/>
                    <w:ind w:firstLine="0"/>
                    <w:jc w:val="left"/>
                    <w:rPr>
                      <w:color w:val="auto"/>
                      <w:sz w:val="24"/>
                      <w:szCs w:val="24"/>
                    </w:rPr>
                  </w:pPr>
                </w:p>
                <w:p w14:paraId="1F548479" w14:textId="77777777" w:rsidR="007E3741" w:rsidRDefault="007E3741" w:rsidP="007E3741">
                  <w:pPr>
                    <w:pStyle w:val="PargrafodaLista"/>
                    <w:numPr>
                      <w:ilvl w:val="0"/>
                      <w:numId w:val="6"/>
                    </w:numPr>
                    <w:tabs>
                      <w:tab w:val="left" w:pos="320"/>
                    </w:tabs>
                    <w:spacing w:after="0" w:line="240" w:lineRule="auto"/>
                    <w:jc w:val="left"/>
                    <w:rPr>
                      <w:b/>
                      <w:bCs/>
                      <w:color w:val="auto"/>
                      <w:sz w:val="24"/>
                      <w:szCs w:val="24"/>
                    </w:rPr>
                  </w:pPr>
                  <w:r>
                    <w:rPr>
                      <w:b/>
                      <w:bCs/>
                      <w:color w:val="auto"/>
                      <w:sz w:val="24"/>
                      <w:szCs w:val="24"/>
                    </w:rPr>
                    <w:t>Da expansão por padronização da marca:</w:t>
                  </w:r>
                </w:p>
                <w:p w14:paraId="086AE9F5" w14:textId="77777777" w:rsidR="007E3741" w:rsidRDefault="007E3741" w:rsidP="007E3741">
                  <w:pPr>
                    <w:pStyle w:val="PargrafodaLista"/>
                    <w:tabs>
                      <w:tab w:val="left" w:pos="320"/>
                    </w:tabs>
                    <w:spacing w:after="0" w:line="240" w:lineRule="auto"/>
                    <w:ind w:left="0" w:firstLine="0"/>
                    <w:jc w:val="left"/>
                    <w:rPr>
                      <w:color w:val="auto"/>
                      <w:sz w:val="24"/>
                      <w:szCs w:val="24"/>
                    </w:rPr>
                  </w:pPr>
                </w:p>
                <w:p w14:paraId="089E00DF"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Uma solução de hiperconvergência é uma plataforma integrada que combina recursos de computação, armazenamento e rede em um único sistema, simplificando a infraestrutura de TI. A padronização é indispensável em uma expansão de solução já existente de hiperconvergência por vários motivos. Em primeiro lugar, garante a continuidade da integração e interoperabilidade entre os componentes existentes e os novos adicionados durante a expansão. Isso evita problemas de compatibilidade, conflitos de configuração e possíveis falhas na infraestrutura. Além disso, a padronização simplifica o gerenciamento e o suporte técnico, permitindo que a equipe de TI trabalhe de forma mais eficiente. Ao manter a mesma solução de hiperconvergência, a equipe já estará familiarizada com a plataforma e seus processos, facilitando a administração da infraestrutura expandida. Por fim, a padronização proporciona consistência e uniformidade em toda a organização, permitindo uma maior estabilidade, escalabilidade e flexibilidade na gestão da infraestrutura hiperconvergente, resultando em um ambiente de TI mais confiável e de fácil manutenção.  </w:t>
                  </w:r>
                </w:p>
                <w:p w14:paraId="30942C93"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Sem a padronização de solução de marca já existente, pode ocorrer a existência de duas soluções hiperconvergentes de fabricantes diferentes em uma mesma infraestrutura de TI, que resultaria em diversas desvantagens, tais como:   </w:t>
                  </w:r>
                </w:p>
                <w:p w14:paraId="3F7EDAC5"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1) Complexidade de gerenciamento: Manter duas soluções hiperconvergentes de fabricantes diferentes significa lidar com interfaces de gerenciamento distintas e incompatíveis. </w:t>
                  </w:r>
                </w:p>
                <w:p w14:paraId="009B8978"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Isso aumenta a complexidade operacional e exige que a equipe de TI tenha conhecimento e habilidades específicas para lidar com ambas as plataformas. A falta de integração e  sincronização entre as soluções dificulta o monitoramento e o gerenciamento unificado da infraestrutura.  </w:t>
                  </w:r>
                </w:p>
                <w:p w14:paraId="69F56229"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2) Dificuldades na integração: A interoperabilidade entre os sistemas é limitada, resultando em dificuldades para transferir e compartilhar dados entre as plataformas. A  complexidade da integração pode levar a problemas de compatibilidade, reduzindo a eficiência operacional e aumentando a possibilidade de erros e falhas.  </w:t>
                  </w:r>
                </w:p>
                <w:p w14:paraId="05C3A720"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3) Maior investimento em treinamento e suporte: A existência de duas soluções hiperconvergentes de fabricantes diferentes requer um investimento adicional em treinamento suporte técnico. A equipe de TI precisa adquirir conhecimentos e habilidades específicos para cada plataforma, o que pode exigir tempo e recursos adicionais. Além disso, a necessidade de suporte técnico e atualizações pode se tornar mais complexa e onerosa ao lidar com múltiplos fabricantes de uma mesma solução.  </w:t>
                  </w:r>
                </w:p>
                <w:p w14:paraId="3DEF289A"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lastRenderedPageBreak/>
                    <w:t xml:space="preserve">4) Desafios de padronização e conformidade: A presença de duas soluções hiperconvergentes diferentes dificulta a padronização e a conformidade com políticas de segurança e governança. Cada plataforma pode ter suas próprias configurações e requisitos específicos, o que aumenta a complexidade na aplicação de políticas consistentes em toda a infraestrutura. Isso pode levar a lacunas de conformidade, aumentando os riscos de segurança e complicando a auditoria e a conformidade regulatória.  </w:t>
                  </w:r>
                </w:p>
                <w:p w14:paraId="1AF57BB5"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5) Limitações de escalabilidade e capacidade: A existência de duas soluções hiperconvergentes limita a escalabilidade e a capacidade total da infraestrutura. As plataformas podem ter requisitos e limitações diferentes em termos de expansão de capacidade, tornando difícil o dimensionamento adequado dos recursos. A falta de interoperabilidade entre as soluções também pode dificultar a adição de novos nós ou a migração de cargas de trabalho entre elas.  </w:t>
                  </w:r>
                </w:p>
                <w:p w14:paraId="56978779"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Em resumo, a presença de duas soluções hiperconvergentes de fabricantes diferentes em uma mesma infraestrutura de TI resulta em complexidade de gerenciamento, dificuldades de integração, necessidade de investimentos extras em treinamento e suporte, desafios de padronização e conformidade, bem como limitações de escalabilidade e capacidade. Logo, se faz necessário que o ambiente Hiperconvergente seja de um único fabricante, de forma a obter uma solução integrada e com compatibilidade total entre seus elementos. Assim posto, a pretendida aquisição ocorrerá por padronização da solução de hiperconvergência do fabricante Nutanix.  </w:t>
                  </w:r>
                </w:p>
                <w:p w14:paraId="0E351A0E" w14:textId="77777777" w:rsidR="007E3741" w:rsidRDefault="007E3741" w:rsidP="007E3741">
                  <w:pPr>
                    <w:pStyle w:val="PargrafodaLista"/>
                    <w:tabs>
                      <w:tab w:val="left" w:pos="320"/>
                    </w:tabs>
                    <w:spacing w:after="0" w:line="240" w:lineRule="auto"/>
                    <w:ind w:firstLine="0"/>
                    <w:rPr>
                      <w:color w:val="auto"/>
                      <w:sz w:val="24"/>
                      <w:szCs w:val="24"/>
                    </w:rPr>
                  </w:pPr>
                </w:p>
                <w:p w14:paraId="2635508C" w14:textId="77777777" w:rsidR="007E3741" w:rsidRDefault="007E3741" w:rsidP="007E3741">
                  <w:pPr>
                    <w:pStyle w:val="PargrafodaLista"/>
                    <w:tabs>
                      <w:tab w:val="left" w:pos="320"/>
                    </w:tabs>
                    <w:spacing w:after="0" w:line="240" w:lineRule="auto"/>
                    <w:ind w:firstLine="0"/>
                    <w:rPr>
                      <w:color w:val="auto"/>
                      <w:sz w:val="24"/>
                      <w:szCs w:val="24"/>
                    </w:rPr>
                  </w:pPr>
                </w:p>
                <w:p w14:paraId="665FCCF2" w14:textId="77777777" w:rsidR="007E3741" w:rsidRDefault="007E3741" w:rsidP="007E3741">
                  <w:pPr>
                    <w:pStyle w:val="PargrafodaLista"/>
                    <w:numPr>
                      <w:ilvl w:val="0"/>
                      <w:numId w:val="6"/>
                    </w:numPr>
                    <w:tabs>
                      <w:tab w:val="left" w:pos="320"/>
                    </w:tabs>
                    <w:spacing w:after="0" w:line="240" w:lineRule="auto"/>
                    <w:jc w:val="left"/>
                    <w:rPr>
                      <w:b/>
                      <w:bCs/>
                      <w:color w:val="auto"/>
                      <w:sz w:val="24"/>
                      <w:szCs w:val="24"/>
                    </w:rPr>
                  </w:pPr>
                  <w:r>
                    <w:rPr>
                      <w:b/>
                      <w:bCs/>
                      <w:color w:val="auto"/>
                      <w:sz w:val="24"/>
                      <w:szCs w:val="24"/>
                    </w:rPr>
                    <w:t>Dos requisitos mínimos e obrigatórios:</w:t>
                  </w:r>
                </w:p>
                <w:p w14:paraId="044641B3" w14:textId="77777777" w:rsidR="007E3741" w:rsidRDefault="007E3741" w:rsidP="007E3741">
                  <w:pPr>
                    <w:pStyle w:val="PargrafodaLista"/>
                    <w:tabs>
                      <w:tab w:val="left" w:pos="320"/>
                    </w:tabs>
                    <w:spacing w:after="0" w:line="240" w:lineRule="auto"/>
                    <w:ind w:firstLine="0"/>
                    <w:jc w:val="left"/>
                    <w:rPr>
                      <w:b/>
                      <w:bCs/>
                      <w:color w:val="auto"/>
                      <w:sz w:val="24"/>
                      <w:szCs w:val="24"/>
                    </w:rPr>
                  </w:pPr>
                </w:p>
                <w:p w14:paraId="16532514"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Neste item estão especificados os requisitos mínimos e obrigatórios para todos os itens da Tabela 01 – Escopo de Fornecimento, onde a licitante deverá apresentar junto a sua proposta comercial, as seguintes informações:  </w:t>
                  </w:r>
                </w:p>
                <w:p w14:paraId="0EC23AD3"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1) A composição de cada item do escopo de fornecimento, contendo marca, modelo, códigos, descritivo dos códigos, unidade, quantidades do conjunto, tudo com o objetivo de se identificar claramente os produtos utilizados para o fornecimento e prestação de serviços.  </w:t>
                  </w:r>
                </w:p>
                <w:p w14:paraId="4C5759DD"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2) O Sebrae poderá a qualquer momento realizar diligência a licitante e/ou fabricantes para comprovação da veracidade de qualquer documento apresentado.  </w:t>
                  </w:r>
                </w:p>
                <w:p w14:paraId="4E1F4961"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Para cada requisito técnico desse anexo, aplicar-se-á as seguintes definições. </w:t>
                  </w:r>
                </w:p>
                <w:p w14:paraId="214EDCC4"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3) Suportar: Deve suportar a implantação da funcionalidade, de forma atual ou de forma futura via aditamento contratual. </w:t>
                  </w:r>
                </w:p>
                <w:p w14:paraId="69780C77"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4) Permitir: Deve permitir e estar incluído na oferta da licitante a funcionalidade solicitada, sem custos extras ao valor ofertado pela licitante. </w:t>
                  </w:r>
                </w:p>
                <w:p w14:paraId="3D831316"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lastRenderedPageBreak/>
                    <w:t>5) Implantar: Deve implantar e estar incluído na oferta da licitante a funcionalidade solicitada, sem custos extras ao valor ofertado pela licitante.</w:t>
                  </w:r>
                </w:p>
                <w:p w14:paraId="6880155F"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 xml:space="preserve">6) Possuir: Deve possuir e estar incluído na oferta da licitante a funcionalidade solicitada, sem custos extras ao valor ofertado pela licitante. </w:t>
                  </w:r>
                </w:p>
                <w:p w14:paraId="14C0CA50" w14:textId="77777777" w:rsidR="007E3741" w:rsidRDefault="007E3741" w:rsidP="007E3741">
                  <w:pPr>
                    <w:pStyle w:val="PargrafodaLista"/>
                    <w:tabs>
                      <w:tab w:val="left" w:pos="320"/>
                    </w:tabs>
                    <w:spacing w:after="0" w:line="240" w:lineRule="auto"/>
                    <w:ind w:firstLine="0"/>
                    <w:rPr>
                      <w:color w:val="auto"/>
                      <w:sz w:val="24"/>
                      <w:szCs w:val="24"/>
                    </w:rPr>
                  </w:pPr>
                  <w:r>
                    <w:rPr>
                      <w:color w:val="auto"/>
                      <w:sz w:val="24"/>
                      <w:szCs w:val="24"/>
                    </w:rPr>
                    <w:t>7) Fornecer: Deve fornecer e estar incluído na oferta da licitante a funcionalidade solicitada, sem custos extras ao valor ofertado pela licitante.</w:t>
                  </w:r>
                </w:p>
                <w:p w14:paraId="431E08A6" w14:textId="77777777" w:rsidR="007E3741" w:rsidRDefault="007E3741" w:rsidP="007E3741">
                  <w:pPr>
                    <w:pStyle w:val="PargrafodaLista"/>
                    <w:tabs>
                      <w:tab w:val="left" w:pos="320"/>
                    </w:tabs>
                    <w:spacing w:after="0" w:line="240" w:lineRule="auto"/>
                    <w:ind w:firstLine="0"/>
                    <w:rPr>
                      <w:color w:val="auto"/>
                      <w:sz w:val="24"/>
                      <w:szCs w:val="24"/>
                    </w:rPr>
                  </w:pPr>
                </w:p>
                <w:p w14:paraId="723E9ADF" w14:textId="77777777" w:rsidR="007E3741" w:rsidRDefault="007E3741" w:rsidP="007E3741">
                  <w:pPr>
                    <w:pStyle w:val="PargrafodaLista"/>
                    <w:numPr>
                      <w:ilvl w:val="0"/>
                      <w:numId w:val="6"/>
                    </w:numPr>
                    <w:tabs>
                      <w:tab w:val="left" w:pos="320"/>
                    </w:tabs>
                    <w:spacing w:after="0" w:line="240" w:lineRule="auto"/>
                    <w:jc w:val="left"/>
                    <w:rPr>
                      <w:b/>
                      <w:bCs/>
                      <w:color w:val="auto"/>
                      <w:sz w:val="24"/>
                      <w:szCs w:val="24"/>
                    </w:rPr>
                  </w:pPr>
                  <w:r>
                    <w:rPr>
                      <w:b/>
                      <w:bCs/>
                      <w:color w:val="auto"/>
                      <w:sz w:val="24"/>
                      <w:szCs w:val="24"/>
                    </w:rPr>
                    <w:t>Dos requisitos detalhados:</w:t>
                  </w:r>
                </w:p>
                <w:p w14:paraId="66C863A8" w14:textId="77777777" w:rsidR="007E3741" w:rsidRDefault="007E3741" w:rsidP="007E3741">
                  <w:pPr>
                    <w:pStyle w:val="PargrafodaLista"/>
                    <w:numPr>
                      <w:ilvl w:val="1"/>
                      <w:numId w:val="6"/>
                    </w:numPr>
                    <w:tabs>
                      <w:tab w:val="left" w:pos="320"/>
                    </w:tabs>
                    <w:spacing w:after="0" w:line="240" w:lineRule="auto"/>
                    <w:jc w:val="left"/>
                    <w:rPr>
                      <w:b/>
                      <w:bCs/>
                      <w:color w:val="auto"/>
                      <w:sz w:val="24"/>
                      <w:szCs w:val="24"/>
                    </w:rPr>
                  </w:pPr>
                  <w:r>
                    <w:rPr>
                      <w:b/>
                      <w:bCs/>
                      <w:color w:val="auto"/>
                      <w:sz w:val="24"/>
                      <w:szCs w:val="24"/>
                    </w:rPr>
                    <w:t>ITEM 01: SOLUÇÃO DE NUVEM PRIVADA – HARDWARE TIPO I.</w:t>
                  </w:r>
                </w:p>
                <w:p w14:paraId="30A40D9B" w14:textId="77777777" w:rsidR="007E3741" w:rsidRDefault="007E3741" w:rsidP="007E3741">
                  <w:pPr>
                    <w:pStyle w:val="PargrafodaLista"/>
                    <w:numPr>
                      <w:ilvl w:val="2"/>
                      <w:numId w:val="6"/>
                    </w:numPr>
                    <w:tabs>
                      <w:tab w:val="left" w:pos="320"/>
                    </w:tabs>
                    <w:spacing w:after="0" w:line="240" w:lineRule="auto"/>
                    <w:jc w:val="left"/>
                    <w:rPr>
                      <w:b/>
                      <w:bCs/>
                      <w:color w:val="auto"/>
                      <w:sz w:val="24"/>
                      <w:szCs w:val="24"/>
                    </w:rPr>
                  </w:pPr>
                  <w:r>
                    <w:rPr>
                      <w:color w:val="auto"/>
                      <w:sz w:val="24"/>
                      <w:szCs w:val="24"/>
                    </w:rPr>
                    <w:t>O appliance hiperconvergente certificado é uma solução de hardware hiperconvergente que consiste em um hardware pré-certificado para um software hiperconvergente. Esses appliances são projetados e testados pelo fabricante para garantir a compatibilidade e desempenho ideais entre os componentes de computação, armazenamento e rede. A certificação garante que o appliance atenda aos padrões e requisitos definidos pelo fornecedor do software hiperconvergente, assegurando que a solução seja confiável, escalável e de fácil implementação. Ao requisitar um appliance hiperconvergente certificado, o Sebrae objetiva obter a garantia de que está adquirindo uma solução validada e suportada pelo fabricante do software hiperconvergente, o que reduz riscos, simplifica o gerenciamento e acelera a implantação de uma infraestrutura hiperconvergente eficiente.</w:t>
                  </w:r>
                </w:p>
                <w:p w14:paraId="20AACA87"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Padronização:</w:t>
                  </w:r>
                </w:p>
                <w:p w14:paraId="53286101"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hardware ofertado deve ser Certificado pela Nutanix.</w:t>
                  </w:r>
                </w:p>
                <w:p w14:paraId="4F1E338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w:t>
                  </w:r>
                  <w:r>
                    <w:rPr>
                      <w:color w:val="auto"/>
                      <w:sz w:val="24"/>
                      <w:szCs w:val="24"/>
                    </w:rPr>
                    <w:tab/>
                    <w:t>hardware</w:t>
                  </w:r>
                  <w:r>
                    <w:rPr>
                      <w:color w:val="auto"/>
                      <w:sz w:val="24"/>
                      <w:szCs w:val="24"/>
                    </w:rPr>
                    <w:tab/>
                    <w:t>deve</w:t>
                  </w:r>
                  <w:r>
                    <w:rPr>
                      <w:color w:val="auto"/>
                      <w:sz w:val="24"/>
                      <w:szCs w:val="24"/>
                    </w:rPr>
                    <w:tab/>
                    <w:t>constar</w:t>
                  </w:r>
                  <w:r>
                    <w:rPr>
                      <w:color w:val="auto"/>
                      <w:sz w:val="24"/>
                      <w:szCs w:val="24"/>
                    </w:rPr>
                    <w:tab/>
                    <w:t>no</w:t>
                  </w:r>
                  <w:r>
                    <w:rPr>
                      <w:color w:val="auto"/>
                      <w:sz w:val="24"/>
                      <w:szCs w:val="24"/>
                    </w:rPr>
                    <w:tab/>
                    <w:t>link: https://www.nutanix.com/products/hardware-platforms/specsheet.</w:t>
                  </w:r>
                </w:p>
                <w:p w14:paraId="54ABF63F"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Gabinete:</w:t>
                  </w:r>
                </w:p>
                <w:p w14:paraId="6412A2CE"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hardware da solução deverá ser composto por um chassis/gabinete com no máximo 2RU (Dois Rack Units), devendo ser instalável em rack padrão de 19 polegadas, doravante denominado “nó”.</w:t>
                  </w:r>
                </w:p>
                <w:p w14:paraId="39FCA376"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Possuir kit de trilhos deslizantes do mesmo fabricante do equipamento ofertado, para fixação do equipamento em rack 19 polegadas.</w:t>
                  </w:r>
                </w:p>
                <w:p w14:paraId="2C17AB8D"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Processamento:</w:t>
                  </w:r>
                </w:p>
                <w:p w14:paraId="231D1737"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2E106E66"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Cada node (“nó”) deve possuir, no mínimo, 2 (dois) processadores de no mínimo 20 (vinte) núcleos (cores) físicos de processamento e 40 (quarenta) threads, ou superiores.</w:t>
                  </w:r>
                </w:p>
                <w:p w14:paraId="47681B9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lastRenderedPageBreak/>
                    <w:t>Cada processador deve operar a pelo menos 2,0 GHz de frequência, sem overclocking ou qualquer outro meio de otimização ou ajuste fino.</w:t>
                  </w:r>
                </w:p>
                <w:p w14:paraId="7FF75634"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Cada processador deve possuir pelo menos 30MB (Megabytes) de memória cache.</w:t>
                  </w:r>
                </w:p>
                <w:p w14:paraId="4EB30DBD"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Memória:</w:t>
                  </w:r>
                </w:p>
                <w:p w14:paraId="4622E772" w14:textId="77777777" w:rsidR="007E3741" w:rsidRDefault="007E3741" w:rsidP="007E3741">
                  <w:pPr>
                    <w:tabs>
                      <w:tab w:val="left" w:pos="320"/>
                    </w:tabs>
                    <w:spacing w:after="0" w:line="240" w:lineRule="auto"/>
                    <w:ind w:left="2160" w:firstLine="0"/>
                    <w:jc w:val="left"/>
                    <w:rPr>
                      <w:color w:val="auto"/>
                      <w:sz w:val="24"/>
                      <w:szCs w:val="24"/>
                    </w:rPr>
                  </w:pPr>
                  <w:r>
                    <w:rPr>
                      <w:color w:val="auto"/>
                      <w:sz w:val="24"/>
                      <w:szCs w:val="24"/>
                    </w:rPr>
                    <w:t xml:space="preserve"> </w:t>
                  </w:r>
                </w:p>
                <w:p w14:paraId="4415EDCF"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Cada node (“nó”) deve conter 1.024 GB de memória DDR4/3200MHz ou superior.</w:t>
                  </w:r>
                </w:p>
                <w:p w14:paraId="1850FF8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Os pentes de memória devem operar em frequência igual ou superior aos processadores.</w:t>
                  </w:r>
                </w:p>
                <w:p w14:paraId="7667DC5E"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Os pentes de memória devem possuir a capacidade mínima de 64 GB (Sessenta e Quatro Gigabytes).</w:t>
                  </w:r>
                </w:p>
                <w:p w14:paraId="097E0BCC"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Os pentes de memória deverão consistir em módulos idênticos e distribuídos de maneira equivalente entre os canais de memória para melhor desempenho.</w:t>
                  </w:r>
                </w:p>
                <w:p w14:paraId="43973826"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Rede:</w:t>
                  </w:r>
                </w:p>
                <w:p w14:paraId="1B51D5A2"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2D7D7ACC"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Cada node (“nó”) que compõe o cluster deverá ser configurado com pelo menos 04 (quatro) portas de rede 10/25GbE SFP28. A portas não devem estar populadas com interfaces ópticas.</w:t>
                  </w:r>
                </w:p>
                <w:p w14:paraId="41DCC0DF"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4CDFFFE8"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Armazenamento:</w:t>
                  </w:r>
                </w:p>
                <w:p w14:paraId="48693967"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07CC014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Cada node (“nó”) deverá prover pelo menos 49TiB (Quarenta e Nove Tebibyte) de capacidade de armazenamento útil.</w:t>
                  </w:r>
                </w:p>
                <w:p w14:paraId="3858F67A"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fornecedor deve ofertar seus equipamentos com armazenamento do tipo NVMe. O tamanho de cada disco deve ser de no máximo 15.36TB.</w:t>
                  </w:r>
                </w:p>
                <w:p w14:paraId="47F4745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Para o cálculo da capacidade de armazenamento útil deverão ser descontadas todas as perdas com formatação, RAID, Replication Factor (RF2), área de manobra (slack space) máxima conforme manual do fabricante, soma de verificação (checksum) e quaisquer outras perdas / overhead da solução de armazenamento definida por software, inclusive perdas decorrentes do emprego de tecnologias para ganhos de eficiência como desduplicação, compressão e erasure-coding.</w:t>
                  </w:r>
                </w:p>
                <w:p w14:paraId="081F4B01"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 considerar a replicação de uma cópia síncrona integral além do dado original, gravada em outro disco do cluster para garantir a performance e a resiliência dos dados. Para tal devem ser utilizadas tecnologias como Replication Factor RF2 ou RAID 10.</w:t>
                  </w:r>
                </w:p>
                <w:p w14:paraId="338D175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 xml:space="preserve">A área líquida deverá ser calculada sem considerar ganhos de desduplicação e compressão. Os requisitos para configuração dos discos e área líquida são mínimos, sendo possível a oferta de discos e </w:t>
                  </w:r>
                  <w:r>
                    <w:rPr>
                      <w:color w:val="auto"/>
                      <w:sz w:val="24"/>
                      <w:szCs w:val="24"/>
                    </w:rPr>
                    <w:lastRenderedPageBreak/>
                    <w:t>equipamentos adicionais para composição da unidade computacional desde que comprovada melhor prática do fabricante.</w:t>
                  </w:r>
                </w:p>
                <w:p w14:paraId="46C5445D"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Hot Swap ou Hot Plug, ou seja, todos os discos ofertados (cache e capacidade) deverão permitir substituição em caso de falha sem interromper o funcionamento do equipamento e demais discos nele instalados. Caso a solução não atenda este requisito, será aceita oferta de uma unidade computacional adicional (com a mesma configuração) instalada no cluster.</w:t>
                  </w:r>
                </w:p>
                <w:p w14:paraId="18DC82DF"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As unidades dedicadas para inicialização do sistema operacional e outras finalidades necessárias para a operação e manutenção de cada equipamento não serão consideradas como área de armazenamento. Para tal função deverá ser fornecido 2 módulos SSD formato M.2 com no mínimo 240GB cada, em configuração de segurança RAID1.</w:t>
                  </w:r>
                </w:p>
                <w:p w14:paraId="5E956BBE"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 xml:space="preserve"> CONTRATANTE se reserva ao direito de realizar teste de bancada com o número mínimo</w:t>
                  </w:r>
                  <w:r>
                    <w:rPr>
                      <w:color w:val="auto"/>
                      <w:sz w:val="24"/>
                      <w:szCs w:val="24"/>
                    </w:rPr>
                    <w:tab/>
                    <w:t>de</w:t>
                  </w:r>
                  <w:r>
                    <w:rPr>
                      <w:color w:val="auto"/>
                      <w:sz w:val="24"/>
                      <w:szCs w:val="24"/>
                    </w:rPr>
                    <w:tab/>
                    <w:t>equipamentos</w:t>
                  </w:r>
                  <w:r>
                    <w:rPr>
                      <w:color w:val="auto"/>
                      <w:sz w:val="24"/>
                      <w:szCs w:val="24"/>
                    </w:rPr>
                    <w:tab/>
                    <w:t>necessários</w:t>
                  </w:r>
                  <w:r>
                    <w:rPr>
                      <w:color w:val="auto"/>
                      <w:sz w:val="24"/>
                      <w:szCs w:val="24"/>
                    </w:rPr>
                    <w:tab/>
                    <w:t>para</w:t>
                  </w:r>
                  <w:r>
                    <w:rPr>
                      <w:color w:val="auto"/>
                      <w:sz w:val="24"/>
                      <w:szCs w:val="24"/>
                    </w:rPr>
                    <w:tab/>
                    <w:t>simulação</w:t>
                  </w:r>
                  <w:r>
                    <w:rPr>
                      <w:color w:val="auto"/>
                      <w:sz w:val="24"/>
                      <w:szCs w:val="24"/>
                    </w:rPr>
                    <w:tab/>
                    <w:t>e comprovação do desempenho proposto.</w:t>
                  </w:r>
                </w:p>
                <w:p w14:paraId="255343D9"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Alimentação Elétrica:</w:t>
                  </w:r>
                </w:p>
                <w:p w14:paraId="065E9DEC"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76DD2226"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possuir fontes de alimentação redundantes, simétricas e internas, do tipo “hot swappable”, com chaveamento automático de tensão nominal de 110 ou 220VAC e frequência de 50 ou 60 Hz, acompanhadas de cabos de alimentação com plugues no padrão ABNT NBR 14136. Não serão aceitos equipamentos com transformadores ou adaptadores externos.</w:t>
                  </w:r>
                </w:p>
                <w:p w14:paraId="1C740D95" w14:textId="77777777" w:rsidR="007E3741" w:rsidRDefault="007E3741" w:rsidP="007E3741">
                  <w:pPr>
                    <w:pStyle w:val="PargrafodaLista"/>
                    <w:tabs>
                      <w:tab w:val="left" w:pos="320"/>
                    </w:tabs>
                    <w:spacing w:after="0" w:line="240" w:lineRule="auto"/>
                    <w:ind w:left="2880" w:firstLine="0"/>
                    <w:jc w:val="left"/>
                    <w:rPr>
                      <w:color w:val="auto"/>
                      <w:sz w:val="24"/>
                      <w:szCs w:val="24"/>
                    </w:rPr>
                  </w:pPr>
                </w:p>
                <w:p w14:paraId="2B39D7AF" w14:textId="77777777" w:rsidR="007E3741" w:rsidRDefault="007E3741" w:rsidP="007E3741">
                  <w:pPr>
                    <w:pStyle w:val="PargrafodaLista"/>
                    <w:numPr>
                      <w:ilvl w:val="1"/>
                      <w:numId w:val="6"/>
                    </w:numPr>
                    <w:tabs>
                      <w:tab w:val="left" w:pos="320"/>
                    </w:tabs>
                    <w:spacing w:after="0" w:line="240" w:lineRule="auto"/>
                    <w:jc w:val="left"/>
                    <w:rPr>
                      <w:color w:val="auto"/>
                      <w:sz w:val="24"/>
                      <w:szCs w:val="24"/>
                    </w:rPr>
                  </w:pPr>
                  <w:r>
                    <w:rPr>
                      <w:color w:val="auto"/>
                      <w:sz w:val="24"/>
                      <w:szCs w:val="24"/>
                    </w:rPr>
                    <w:t>ITEM 02: SOLUÇÃO DE NUVEM PRIVADA – SOFTWARE TIPO I.</w:t>
                  </w:r>
                </w:p>
                <w:p w14:paraId="65142425"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A solução de nuvem privada é uma infraestrutura de computação em nuvem dedicada a uma única organização, fornecendo recursos computacionais virtualizados e serviços de armazenamento de dados em um ambiente isolado e seguro. Nessa solução, a organização tem controle total sobre os recursos, configurando e gerenciando a nuvem de acordo com suas necessidades específicas. A nuvem privada oferece benefícios como escalabilidade, flexibilidade e eficiência operacional, permitindo que a organização dimensione recursos sob demanda, aloque-os de forma ágil e automatize processos de TI. Além disso, a nuvem privada oferece maior controle sobre a segurança dos dados, permitindo a implementação de políticas de segurança personalizadas e garantindo a conformidade regulatória interna e/ou externa.</w:t>
                  </w:r>
                </w:p>
                <w:p w14:paraId="50BB9BE6"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 xml:space="preserve">Ademais, com o grande aumento no número e sofisticação de ataques cibernéticos para roubo e sequestro de informações, as instituições brasileiras, públicas e privadas, tem demonstrado esforços para o emprego de critérios de segurança objetivando viabilizar o estabelecimento de um padrão de privacidade através da Lei Geral de Proteção dos Dados que passou a vigorar em 18 de setembro de 2020. Para que seja </w:t>
                  </w:r>
                  <w:r>
                    <w:rPr>
                      <w:color w:val="auto"/>
                      <w:sz w:val="24"/>
                      <w:szCs w:val="24"/>
                    </w:rPr>
                    <w:lastRenderedPageBreak/>
                    <w:t>possível estabelecer e atender aos requisitos de privacidade, torna-se necessário o emprego de configurações e tecnologias que permitam aumentar a segurança do ambiente onde são mantidos os dados de usuários e aplicações.</w:t>
                  </w:r>
                </w:p>
                <w:p w14:paraId="48589514"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Assim, a Autoridade Nacional de Proteção de Dados (ANPD), é um órgão da administração pública direta federal do Brasil que faz parte da Presidência da República e possui atribuições relacionadas a proteção de dados pessoais e da privacidade e, sobretudo, deve realizar a fiscalização do cumprimento da Lei nº 13.709/2018, conhecida como Lei Geral de Proteção de Dados Pessoais (LGPD). A ANPD reconhece esquemas internacionais de certificação de privacidade como capacitadores de transferências internacionais, uma vez que eles exigem que as organizações certificadas implementem uma série de medidas de proteção de dados de alto padrão, tais como:</w:t>
                  </w:r>
                </w:p>
                <w:p w14:paraId="095C07E5"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Common</w:t>
                  </w:r>
                  <w:r>
                    <w:rPr>
                      <w:color w:val="auto"/>
                      <w:sz w:val="24"/>
                      <w:szCs w:val="24"/>
                    </w:rPr>
                    <w:tab/>
                    <w:t>Criteria,</w:t>
                  </w:r>
                  <w:r>
                    <w:rPr>
                      <w:color w:val="auto"/>
                      <w:sz w:val="24"/>
                      <w:szCs w:val="24"/>
                    </w:rPr>
                    <w:tab/>
                    <w:t>onde</w:t>
                  </w:r>
                  <w:r>
                    <w:rPr>
                      <w:color w:val="auto"/>
                      <w:sz w:val="24"/>
                      <w:szCs w:val="24"/>
                    </w:rPr>
                    <w:tab/>
                    <w:t>estes critérios</w:t>
                  </w:r>
                  <w:r>
                    <w:rPr>
                      <w:color w:val="auto"/>
                      <w:sz w:val="24"/>
                      <w:szCs w:val="24"/>
                    </w:rPr>
                    <w:tab/>
                    <w:t>foram produzidos predominantemente para que as empresas que comercializam produtos de informática para o mercado governamental (principalmente para uso de Defesa ou Inteligência) ou privado, precisassem apenas avaliá-los em relação a um conjunto de padrões.</w:t>
                  </w:r>
                </w:p>
                <w:p w14:paraId="2AA797B0" w14:textId="77777777" w:rsidR="007E3741" w:rsidRDefault="007E3741" w:rsidP="007E3741">
                  <w:pPr>
                    <w:pStyle w:val="PargrafodaLista"/>
                    <w:tabs>
                      <w:tab w:val="left" w:pos="320"/>
                    </w:tabs>
                    <w:spacing w:after="0" w:line="240" w:lineRule="auto"/>
                    <w:ind w:left="1440" w:firstLine="0"/>
                    <w:jc w:val="left"/>
                    <w:rPr>
                      <w:color w:val="auto"/>
                      <w:sz w:val="24"/>
                      <w:szCs w:val="24"/>
                    </w:rPr>
                  </w:pPr>
                  <w:r>
                    <w:rPr>
                      <w:color w:val="auto"/>
                      <w:sz w:val="24"/>
                      <w:szCs w:val="24"/>
                    </w:rPr>
                    <w:t xml:space="preserve"> </w:t>
                  </w:r>
                </w:p>
                <w:p w14:paraId="7A72F6F4"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As publicações especiais do Instituto Nacional de Padrões e Tecnologia (NIST) para controles de segurança e privacidade (SP) para sistemas e organizações federais de informação (NIST SP 800.53).</w:t>
                  </w:r>
                </w:p>
                <w:p w14:paraId="2778DB70"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Guia de Implementação Técnica de Segurança (STIG) da Agência de Sistemas de Informação do Departamento de Defesa dos EUA (DISA).</w:t>
                  </w:r>
                </w:p>
                <w:p w14:paraId="628727A2" w14:textId="77777777" w:rsidR="007E3741" w:rsidRDefault="007E3741" w:rsidP="007E3741">
                  <w:pPr>
                    <w:pStyle w:val="PargrafodaLista"/>
                    <w:numPr>
                      <w:ilvl w:val="2"/>
                      <w:numId w:val="6"/>
                    </w:numPr>
                    <w:tabs>
                      <w:tab w:val="left" w:pos="320"/>
                    </w:tabs>
                    <w:spacing w:after="0" w:line="240" w:lineRule="auto"/>
                    <w:ind w:left="1440" w:firstLine="0"/>
                    <w:jc w:val="left"/>
                    <w:rPr>
                      <w:color w:val="auto"/>
                      <w:sz w:val="24"/>
                      <w:szCs w:val="24"/>
                    </w:rPr>
                  </w:pPr>
                  <w:r>
                    <w:rPr>
                      <w:color w:val="auto"/>
                      <w:sz w:val="24"/>
                      <w:szCs w:val="24"/>
                    </w:rPr>
                    <w:t>Segurança</w:t>
                  </w:r>
                </w:p>
                <w:p w14:paraId="76086AC8"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Deverá ser comprovada a certificação Common Criteria EAL2+ do hipervisor e do sistema de armazenamento definido por software.</w:t>
                  </w:r>
                </w:p>
                <w:p w14:paraId="3BF5814E"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Tanto para cluster com dados, como para cluster vazio, a solução deverá permitir configurar criptografia de dados durante a ingestão (inline) ou após a gravação na camada de armazenamento (data-at-rest encryption) com gerenciador de chaves (KMS), local ou externo (sem ponto único de falha em ambos os cenários), que suporte a troca da chave mestre de criptografia em períodos arbitrários para aumento de segurança, para que os dados sejam inacessíveis em caso de roubo de um disco ou equipamento.</w:t>
                  </w:r>
                </w:p>
                <w:p w14:paraId="546E508C"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deverá garantir que os dados nos drives sejam seguramente destruídos. Caso a solução dependa exclusivamente de um serviço externo para gerenciamento de chaves criptográficas, este deverá ser fornecido sem ponto único de falha juntamente com a solução. Caso esta funcionalidade requeira licenciamento de software ou componentes de hardware</w:t>
                  </w:r>
                </w:p>
                <w:p w14:paraId="2714E214" w14:textId="77777777" w:rsidR="007E3741" w:rsidRDefault="007E3741" w:rsidP="007E3741">
                  <w:pPr>
                    <w:pStyle w:val="PargrafodaLista"/>
                    <w:tabs>
                      <w:tab w:val="left" w:pos="320"/>
                    </w:tabs>
                    <w:spacing w:after="0" w:line="240" w:lineRule="auto"/>
                    <w:ind w:left="4320" w:firstLine="0"/>
                    <w:jc w:val="left"/>
                    <w:rPr>
                      <w:color w:val="auto"/>
                      <w:sz w:val="24"/>
                      <w:szCs w:val="24"/>
                    </w:rPr>
                  </w:pPr>
                  <w:r>
                    <w:rPr>
                      <w:color w:val="auto"/>
                      <w:sz w:val="24"/>
                      <w:szCs w:val="24"/>
                    </w:rPr>
                    <w:lastRenderedPageBreak/>
                    <w:t>adicionais, estes deverão ser fornecidos com a solução garantindo a redundância entre os sites.</w:t>
                  </w:r>
                </w:p>
                <w:p w14:paraId="6731DD3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Caso a tecnologia de armazenamento definida por software não seja efetiva para otimização dos dados (desduplicação, compressão e erasure-coding) enquanto empregar a criptografia, deverá ser fornecida capacidade de armazenamento adicional de 30%.</w:t>
                  </w:r>
                </w:p>
                <w:p w14:paraId="7F00CA3D"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licitante deverá considerar os serviços profissionais do fabricante da solução para empregar configurações de segurança a fim de estabelecer conformidade com o Guia de Implementações Técnicas de Segurança (STIG).</w:t>
                  </w:r>
                </w:p>
                <w:p w14:paraId="5C5B93FF" w14:textId="77777777" w:rsidR="007E3741" w:rsidRDefault="007E3741" w:rsidP="007E3741">
                  <w:pPr>
                    <w:pStyle w:val="PargrafodaLista"/>
                    <w:numPr>
                      <w:ilvl w:val="3"/>
                      <w:numId w:val="6"/>
                    </w:numPr>
                    <w:tabs>
                      <w:tab w:val="left" w:pos="320"/>
                    </w:tabs>
                    <w:spacing w:after="0" w:line="240" w:lineRule="auto"/>
                    <w:ind w:left="1440" w:firstLine="0"/>
                    <w:jc w:val="left"/>
                    <w:rPr>
                      <w:color w:val="auto"/>
                      <w:sz w:val="24"/>
                      <w:szCs w:val="24"/>
                    </w:rPr>
                  </w:pPr>
                  <w:r>
                    <w:rPr>
                      <w:color w:val="auto"/>
                      <w:sz w:val="24"/>
                      <w:szCs w:val="24"/>
                    </w:rPr>
                    <w:t>Após o emprego destas configurações solução deverá dispor de uma estrutura para automação do gerenciamento de configuração de segurança para garantir que os serviços sejam constantemente inspecionados quanto à variação da política de segurança:</w:t>
                  </w:r>
                </w:p>
                <w:p w14:paraId="404997FF"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Tanto para o hipervisor ofertado como para o sistema de armazenamento definido por software, a solução deverá permitir estabelecer um modelo padrão com todas as configurações empregadas no cluster de modo que a solução possa corrigir automaticamente qualquer desvio da configuração de segurança do sistema operacional e do hipervisor para permanecer em conformidade. Se algum componente for considerado não compatível, o componente deverá ser restaurado às configurações de segurança suportadas sem nenhuma intervenção do administrador.</w:t>
                  </w:r>
                </w:p>
                <w:p w14:paraId="6258DCD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As regras STIG deverão ser capazes de proteger o carregador de inicialização (boot loader), pacotes, sistema de arquivos, controle de serviço e inicialização, propriedade de arquivos, autenticação, kernel e log.</w:t>
                  </w:r>
                </w:p>
                <w:p w14:paraId="061DF237"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 solução deverá estabelecer um ambiente avançado de detecção de intrusões (AIDE) gerando uma base de dados contendo todos os arquivos de configuração. O sistema deverá permitir a verificação da integridade dos arquivos e diretórios por meio de comparação com snapshot capturado da base de dados. No caso de alterações inesperadas, a solução deverá gerar um relatório para revisão. Para o caso de alterações válidas, o administrador poderá atualizar a base de dados.</w:t>
                  </w:r>
                </w:p>
                <w:p w14:paraId="45E1D8FC"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fabricante da solução deverá publicar avisos de segurança com informações detalhadas sobre atualizações, correções de segurança, descrição das vulnerabilidades e as versões de software impactadas.</w:t>
                  </w:r>
                </w:p>
                <w:p w14:paraId="044E0D73"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deverá permitir estabelecer regras de autenticação, tais como:</w:t>
                  </w:r>
                </w:p>
                <w:p w14:paraId="4166965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proibir o login direto como usuário root,</w:t>
                  </w:r>
                </w:p>
                <w:p w14:paraId="17A29632"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bloquear contas do sistema que não sejam root,</w:t>
                  </w:r>
                </w:p>
                <w:p w14:paraId="5368C90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impor detalhes de manutenção de senha,</w:t>
                  </w:r>
                </w:p>
                <w:p w14:paraId="75F56C6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configurar cautelosamente o acesso via SSH,</w:t>
                  </w:r>
                </w:p>
                <w:p w14:paraId="634CC19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lastRenderedPageBreak/>
                    <w:t>ativar o bloqueio de tela.</w:t>
                  </w:r>
                </w:p>
                <w:p w14:paraId="12AAFE8B"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44F3E1AE"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 xml:space="preserve"> A solução também deverá suportar a configuração de diferentes métodos de autenticação à interface de gerenciamento centralizado:</w:t>
                  </w:r>
                </w:p>
                <w:p w14:paraId="5B25991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autenticação através de usuário local,</w:t>
                  </w:r>
                </w:p>
                <w:p w14:paraId="4C6FE39F"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Active Directory com possibilidade de autenticação de usuários com Common Access Card (CAC), permitindo a autenticação e controle de acesso através da combinação de dispositivos de segurança física e senhas de acesso,</w:t>
                  </w:r>
                </w:p>
                <w:p w14:paraId="7B7C2EC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Security Assertion Markup Language (SAML) através de um provedor externo de identidade.</w:t>
                  </w:r>
                </w:p>
                <w:p w14:paraId="661BE80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Deverão estar disponíveis os seguintes tipos de usuários e suas respectivas funções:</w:t>
                  </w:r>
                </w:p>
                <w:p w14:paraId="57A13D11"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Visualização -</w:t>
                  </w:r>
                  <w:r>
                    <w:rPr>
                      <w:color w:val="auto"/>
                      <w:sz w:val="24"/>
                      <w:szCs w:val="24"/>
                    </w:rPr>
                    <w:tab/>
                    <w:t>Não</w:t>
                  </w:r>
                  <w:r>
                    <w:rPr>
                      <w:color w:val="auto"/>
                      <w:sz w:val="24"/>
                      <w:szCs w:val="24"/>
                    </w:rPr>
                    <w:tab/>
                    <w:t>permite</w:t>
                  </w:r>
                  <w:r>
                    <w:rPr>
                      <w:color w:val="auto"/>
                      <w:sz w:val="24"/>
                      <w:szCs w:val="24"/>
                    </w:rPr>
                    <w:tab/>
                    <w:t>nenhuma</w:t>
                  </w:r>
                  <w:r>
                    <w:rPr>
                      <w:color w:val="auto"/>
                      <w:sz w:val="24"/>
                      <w:szCs w:val="24"/>
                    </w:rPr>
                    <w:tab/>
                    <w:t>alteração</w:t>
                  </w:r>
                  <w:r>
                    <w:rPr>
                      <w:color w:val="auto"/>
                      <w:sz w:val="24"/>
                      <w:szCs w:val="24"/>
                    </w:rPr>
                    <w:tab/>
                    <w:t>na configuração.</w:t>
                  </w:r>
                </w:p>
                <w:p w14:paraId="5FB09DE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Administrador do Cluster - Pode realizar todas as operações disponíveis, exceto criar ou modificar os usuários.</w:t>
                  </w:r>
                </w:p>
                <w:p w14:paraId="15A7646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Administrador de Usuários - Pode realizar todas as operações disponíveis.</w:t>
                  </w:r>
                </w:p>
                <w:p w14:paraId="51C31B41"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Com o objetivo de proporcionar maior segurança, o sistema operacional também deverá oferecer uma funcionalidade de impedir o acesso ao terminal de linha de comando.</w:t>
                  </w:r>
                </w:p>
                <w:p w14:paraId="44F97F0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console Web deve suportar o acesso via HTTPS utilizando certificados.</w:t>
                  </w:r>
                </w:p>
                <w:p w14:paraId="328B1765"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 disponibilizar acesso ao sistema operacional da solução através do protocolo padrão SSH (Secure Shell).</w:t>
                  </w:r>
                </w:p>
                <w:p w14:paraId="1D0D4E18"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interface de administração WEB e SSH deverá ser configurada em altadisponibilidade e sem ponto único de falha, garantindo que mesmo em caso de falha ou indisponibilidade de equipamento, a interface de administração continue disponível.</w:t>
                  </w:r>
                </w:p>
                <w:p w14:paraId="22799E60"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ofertada deverá estar habilitada para uso de microssegmentação, provendo controle granular e governança de todo o tráfego de entrada e saída de uma máquina virtual (VM) e de grupos de máquinas virtuais (VMs).</w:t>
                  </w:r>
                </w:p>
                <w:p w14:paraId="2EBD906F"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 microssegmentação deverá permitir a associação de políticas de rede a VMs e aplicativos ao invés de segmentos de rede específicos (por exemplo VLANs) ou identificadores (endereços IP ou MAC).</w:t>
                  </w:r>
                </w:p>
                <w:p w14:paraId="395AB7B5"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Deverá</w:t>
                  </w:r>
                  <w:r>
                    <w:rPr>
                      <w:color w:val="auto"/>
                      <w:sz w:val="24"/>
                      <w:szCs w:val="24"/>
                    </w:rPr>
                    <w:tab/>
                    <w:t>prover visualização</w:t>
                  </w:r>
                  <w:r>
                    <w:rPr>
                      <w:color w:val="auto"/>
                      <w:sz w:val="24"/>
                      <w:szCs w:val="24"/>
                    </w:rPr>
                    <w:tab/>
                    <w:t>de</w:t>
                  </w:r>
                  <w:r>
                    <w:rPr>
                      <w:color w:val="auto"/>
                      <w:sz w:val="24"/>
                      <w:szCs w:val="24"/>
                    </w:rPr>
                    <w:tab/>
                    <w:t>todo</w:t>
                  </w:r>
                  <w:r>
                    <w:rPr>
                      <w:color w:val="auto"/>
                      <w:sz w:val="24"/>
                      <w:szCs w:val="24"/>
                    </w:rPr>
                    <w:tab/>
                    <w:t>tráfego</w:t>
                  </w:r>
                  <w:r>
                    <w:rPr>
                      <w:color w:val="auto"/>
                      <w:sz w:val="24"/>
                      <w:szCs w:val="24"/>
                    </w:rPr>
                    <w:tab/>
                    <w:t>e relacionamentos com a descoberta automática dos fluxos entre as máquinas virtuais.</w:t>
                  </w:r>
                </w:p>
                <w:p w14:paraId="68467C3C"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Deverá prover uma estrutura de segurança orientada por políticas que inspeciona o tráfego dentro do data center.</w:t>
                  </w:r>
                </w:p>
                <w:p w14:paraId="7318EFB2"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lastRenderedPageBreak/>
                    <w:t>As políticas de segurança devem inspecionar o tráfego originado e terminado dentro de um datacenter, ajudando a eliminar a necessidade de firewalls adicionais no datacenter.</w:t>
                  </w:r>
                </w:p>
                <w:p w14:paraId="1EB08111"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 estrutura deve utilizar uma abordagem centrada na carga de trabalho em vez de uma abordagem centrada na rede, permitindo examinar o tráfego de, e para as VMs, independentemente de como as configurações de rede mudam e onde residem no data center.</w:t>
                  </w:r>
                </w:p>
                <w:p w14:paraId="7454375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Deverá prover uma abordagem agnóstica a estrutura de rede, centrada na carga de trabalho, permitindo que a equipe de virtualização implemente essas políticas de segurança sem depender de equipes de segurança de rede.</w:t>
                  </w:r>
                </w:p>
                <w:p w14:paraId="5DDB564C"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As políticas de segurança deverão ser aplicadas às categorias (um agrupamento lógico de VMs) e não às próprias VMs, não importando quantas VMs são inicializadas em uma determinada categoria. O tráfego associado às VMs em uma categoria deverá</w:t>
                  </w:r>
                  <w:r>
                    <w:rPr>
                      <w:color w:val="auto"/>
                      <w:sz w:val="24"/>
                      <w:szCs w:val="24"/>
                    </w:rPr>
                    <w:tab/>
                    <w:t>ser protegido   sem  intervenção administrativa, em qualquer escala.</w:t>
                  </w:r>
                </w:p>
                <w:p w14:paraId="428A9839"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 interface de gerenciamento deve oferecer uma abordagem baseada em visualização para configurar políticas e monitorar o tráfego ao qual uma determinada política se aplica:</w:t>
                  </w:r>
                </w:p>
                <w:p w14:paraId="59FE8AC9"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Política de Segurança de Aplicação: quando for necessário proteger um aplicativo especificando origens e destinos de tráfego permitidos.</w:t>
                  </w:r>
                </w:p>
                <w:p w14:paraId="151F372F"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Política de Isolamento do Ambiente: quando for necessário bloquear todo o tráfego, independentemente da direção, entre dois grupos de VMs identificados por sua categoria. VMs dentro de um grupo podem se comunicar umas com as outras.</w:t>
                  </w:r>
                </w:p>
                <w:p w14:paraId="6994CAB5"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ab/>
                    <w:t>Política</w:t>
                  </w:r>
                  <w:r>
                    <w:rPr>
                      <w:color w:val="auto"/>
                      <w:sz w:val="24"/>
                      <w:szCs w:val="24"/>
                    </w:rPr>
                    <w:tab/>
                    <w:t>de</w:t>
                  </w:r>
                  <w:r>
                    <w:rPr>
                      <w:color w:val="auto"/>
                      <w:sz w:val="24"/>
                      <w:szCs w:val="24"/>
                    </w:rPr>
                    <w:tab/>
                    <w:t>Quarentena: quando</w:t>
                  </w:r>
                  <w:r>
                    <w:rPr>
                      <w:color w:val="auto"/>
                      <w:sz w:val="24"/>
                      <w:szCs w:val="24"/>
                    </w:rPr>
                    <w:tab/>
                    <w:t>for necessário isolar uma VM comprometida ou infectada e, opcionalmente, desejar submetê-la à perícia.</w:t>
                  </w:r>
                </w:p>
                <w:p w14:paraId="0C316A48"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Deverá garantir que seja apenas permitido o tráfego entre camadas de aplicativos ou outros limites lógicos, garantindo a proteção contra ameaças avançadas para que não sejam propagadas no ambiente virtual.</w:t>
                  </w:r>
                </w:p>
                <w:p w14:paraId="5EC70E8B" w14:textId="77777777" w:rsidR="007E3741" w:rsidRDefault="007E3741" w:rsidP="007E3741">
                  <w:pPr>
                    <w:pStyle w:val="PargrafodaLista"/>
                    <w:tabs>
                      <w:tab w:val="left" w:pos="320"/>
                    </w:tabs>
                    <w:spacing w:after="0" w:line="240" w:lineRule="auto"/>
                    <w:ind w:left="1440" w:firstLine="0"/>
                    <w:jc w:val="left"/>
                    <w:rPr>
                      <w:color w:val="auto"/>
                      <w:sz w:val="24"/>
                      <w:szCs w:val="24"/>
                    </w:rPr>
                  </w:pPr>
                  <w:r>
                    <w:rPr>
                      <w:color w:val="auto"/>
                      <w:sz w:val="24"/>
                      <w:szCs w:val="24"/>
                    </w:rPr>
                    <w:t xml:space="preserve"> </w:t>
                  </w:r>
                </w:p>
                <w:p w14:paraId="1585C1CA"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Deverá permitir a atualização automática durante todo o ciclo de vida da VM, eliminando a carga do gerenciamento de mudanças de políticas.</w:t>
                  </w:r>
                </w:p>
                <w:p w14:paraId="47682D50"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 permitir categorizar as Máquinas Virtuais de forma a permitir a criação políticas de segurança com no mínimo as seguintes funções:</w:t>
                  </w:r>
                </w:p>
                <w:p w14:paraId="029F221E"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 xml:space="preserve"> o tráfego de dados entre Máquinas Virtuais de Diferentes categorias</w:t>
                  </w:r>
                </w:p>
                <w:p w14:paraId="2DEC9A6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Isolar o tráfego de dados de Máquinas Virtuais específicas para modo de quarentena, tanto forense quanto restrita, de forma a prover uma rápida reação ao time de infraestrutura em</w:t>
                  </w:r>
                  <w:r>
                    <w:rPr>
                      <w:color w:val="auto"/>
                      <w:sz w:val="24"/>
                      <w:szCs w:val="24"/>
                    </w:rPr>
                    <w:tab/>
                    <w:t>caso</w:t>
                  </w:r>
                  <w:r>
                    <w:rPr>
                      <w:color w:val="auto"/>
                      <w:sz w:val="24"/>
                      <w:szCs w:val="24"/>
                    </w:rPr>
                    <w:tab/>
                    <w:t>de</w:t>
                  </w:r>
                  <w:r>
                    <w:rPr>
                      <w:color w:val="auto"/>
                      <w:sz w:val="24"/>
                      <w:szCs w:val="24"/>
                    </w:rPr>
                    <w:lastRenderedPageBreak/>
                    <w:tab/>
                    <w:t>Máquinas</w:t>
                  </w:r>
                  <w:r>
                    <w:rPr>
                      <w:color w:val="auto"/>
                      <w:sz w:val="24"/>
                      <w:szCs w:val="24"/>
                    </w:rPr>
                    <w:tab/>
                    <w:t>Virtuais</w:t>
                  </w:r>
                  <w:r>
                    <w:rPr>
                      <w:color w:val="auto"/>
                      <w:sz w:val="24"/>
                      <w:szCs w:val="24"/>
                    </w:rPr>
                    <w:tab/>
                    <w:t>contaminadas</w:t>
                  </w:r>
                  <w:r>
                    <w:rPr>
                      <w:color w:val="auto"/>
                      <w:sz w:val="24"/>
                      <w:szCs w:val="24"/>
                    </w:rPr>
                    <w:tab/>
                    <w:t>ou pertencentes a usuários que foram desligados ou sob procedimento de custódia de dados.</w:t>
                  </w:r>
                </w:p>
                <w:p w14:paraId="68EB985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Mapear o tráfego de entrada, entre as camadas e de saída de aplicações, permitindo ao administrador determinar quais servidores tem acesso de entrada na aplicação, o tipo de protocolo e o número da porta que o fluxo de dados pode ocorrer, permitir ou restringir também o fluxo de dados entre as camadas, máquinas virtuais, pertencentes à aplicação, através da especificação do protocolo e o número da porta, realizar também o mesmo procedimento para conexões de saída das camadas da aplicação, também através da especificação de protocolo e número de porta.</w:t>
                  </w:r>
                </w:p>
                <w:p w14:paraId="314114CF"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 xml:space="preserve"> Deve permitir integração com softwares de terceiros para que seja possível o redirecionamento do tráfego das VMs para ferramentas de detecção e prevenção de intrusos (IDS/IPS), monitoração de performance de aplicações (APM), balanceadores de carga.</w:t>
                  </w:r>
                </w:p>
                <w:p w14:paraId="28C807B1"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fornecer um mapa de calor relacionado à segurança provendo visibilidade completa  da  postura</w:t>
                  </w:r>
                  <w:r>
                    <w:rPr>
                      <w:color w:val="auto"/>
                      <w:sz w:val="24"/>
                      <w:szCs w:val="24"/>
                    </w:rPr>
                    <w:tab/>
                    <w:t>de   segurança  do   ambiente   da</w:t>
                  </w:r>
                </w:p>
                <w:p w14:paraId="1CDBD783" w14:textId="77777777" w:rsidR="007E3741" w:rsidRDefault="007E3741" w:rsidP="007E3741">
                  <w:pPr>
                    <w:pStyle w:val="PargrafodaLista"/>
                    <w:tabs>
                      <w:tab w:val="left" w:pos="320"/>
                    </w:tabs>
                    <w:spacing w:after="0" w:line="240" w:lineRule="auto"/>
                    <w:ind w:left="4320" w:firstLine="0"/>
                    <w:jc w:val="left"/>
                    <w:rPr>
                      <w:color w:val="auto"/>
                      <w:sz w:val="24"/>
                      <w:szCs w:val="24"/>
                    </w:rPr>
                  </w:pPr>
                  <w:r>
                    <w:rPr>
                      <w:color w:val="auto"/>
                      <w:sz w:val="24"/>
                      <w:szCs w:val="24"/>
                    </w:rPr>
                    <w:t>CONTRATANTE.  Identificar  vulnerabilidades  de  segurança usando verificações de auditoria automatizadas.</w:t>
                  </w:r>
                </w:p>
                <w:p w14:paraId="38E777A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permitir a definição de políticas que detectam continuamente vulnerabilidades de segurança em tempo real e automatizam as ações necessárias para corrigi- las. Permitir criar verificações de auditoria personalizadas para atender às necessidades de conformidade de segurança específicas do CONTRANTE.</w:t>
                  </w:r>
                </w:p>
                <w:p w14:paraId="22E560CA"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Deverá prover auditorias de segurança com detalhes de quaisquer configurações incorretas ou inadequadas dos recursos instalados, classificados no mínimo pelas seguintes categorias:</w:t>
                  </w:r>
                </w:p>
                <w:p w14:paraId="54BEDE2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Auditorias de rede, como exemplo as portas TCP/UDP publicamente acessíveis.</w:t>
                  </w:r>
                </w:p>
                <w:p w14:paraId="395E586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Auditorias de máquinas virtuais, como exemplo as VMs sem proteção de acesso.</w:t>
                  </w:r>
                </w:p>
                <w:p w14:paraId="73729BD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Auditorias</w:t>
                  </w:r>
                  <w:r>
                    <w:rPr>
                      <w:color w:val="auto"/>
                      <w:sz w:val="24"/>
                      <w:szCs w:val="24"/>
                    </w:rPr>
                    <w:tab/>
                    <w:t>de</w:t>
                  </w:r>
                  <w:r>
                    <w:rPr>
                      <w:color w:val="auto"/>
                      <w:sz w:val="24"/>
                      <w:szCs w:val="24"/>
                    </w:rPr>
                    <w:tab/>
                    <w:t>dados,</w:t>
                  </w:r>
                  <w:r>
                    <w:rPr>
                      <w:color w:val="auto"/>
                      <w:sz w:val="24"/>
                      <w:szCs w:val="24"/>
                    </w:rPr>
                    <w:tab/>
                    <w:t>como exemplo</w:t>
                  </w:r>
                  <w:r>
                    <w:rPr>
                      <w:color w:val="auto"/>
                      <w:sz w:val="24"/>
                      <w:szCs w:val="24"/>
                    </w:rPr>
                    <w:tab/>
                    <w:t>dados não criptografados</w:t>
                  </w:r>
                </w:p>
                <w:p w14:paraId="0ED1964C"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Auditorias de acesso.</w:t>
                  </w:r>
                </w:p>
                <w:p w14:paraId="197F9995"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prover ações de remediação necessárias para melhorar a segurança da infraestrutura.</w:t>
                  </w:r>
                </w:p>
                <w:p w14:paraId="4F33B6E7" w14:textId="77777777" w:rsidR="007E3741" w:rsidRDefault="007E3741" w:rsidP="007E3741">
                  <w:pPr>
                    <w:pStyle w:val="PargrafodaLista"/>
                    <w:tabs>
                      <w:tab w:val="left" w:pos="320"/>
                    </w:tabs>
                    <w:spacing w:after="0" w:line="240" w:lineRule="auto"/>
                    <w:ind w:left="1440" w:firstLine="0"/>
                    <w:jc w:val="left"/>
                    <w:rPr>
                      <w:color w:val="auto"/>
                      <w:sz w:val="24"/>
                      <w:szCs w:val="24"/>
                    </w:rPr>
                  </w:pPr>
                  <w:r>
                    <w:rPr>
                      <w:color w:val="auto"/>
                      <w:sz w:val="24"/>
                      <w:szCs w:val="24"/>
                    </w:rPr>
                    <w:t xml:space="preserve"> </w:t>
                  </w:r>
                </w:p>
                <w:p w14:paraId="0DFCAA97" w14:textId="77777777" w:rsidR="007E3741" w:rsidRDefault="007E3741" w:rsidP="007E3741">
                  <w:pPr>
                    <w:pStyle w:val="PargrafodaLista"/>
                    <w:numPr>
                      <w:ilvl w:val="2"/>
                      <w:numId w:val="6"/>
                    </w:numPr>
                    <w:tabs>
                      <w:tab w:val="left" w:pos="320"/>
                    </w:tabs>
                    <w:spacing w:after="0" w:line="240" w:lineRule="auto"/>
                    <w:ind w:left="1440" w:firstLine="0"/>
                    <w:jc w:val="left"/>
                    <w:rPr>
                      <w:color w:val="auto"/>
                      <w:sz w:val="24"/>
                      <w:szCs w:val="24"/>
                    </w:rPr>
                  </w:pPr>
                  <w:r>
                    <w:rPr>
                      <w:color w:val="auto"/>
                      <w:sz w:val="24"/>
                      <w:szCs w:val="24"/>
                    </w:rPr>
                    <w:t>Padronização:</w:t>
                  </w:r>
                </w:p>
                <w:p w14:paraId="31292132"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11EB59CD"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software ofertado deve ser do mesmo fabricante do software já em uso no Sebrae, Nutanix Software. Os softwares existentes e em uso, com suporte e garantia, constam detalhados na Tabela 02 – Atual Infraestrutura Hiperconvergente.</w:t>
                  </w:r>
                </w:p>
                <w:p w14:paraId="0CE0D0C3" w14:textId="77777777" w:rsidR="007E3741" w:rsidRDefault="007E3741" w:rsidP="007E3741">
                  <w:pPr>
                    <w:pStyle w:val="PargrafodaLista"/>
                    <w:numPr>
                      <w:ilvl w:val="2"/>
                      <w:numId w:val="6"/>
                    </w:numPr>
                    <w:tabs>
                      <w:tab w:val="left" w:pos="320"/>
                    </w:tabs>
                    <w:spacing w:after="0" w:line="240" w:lineRule="auto"/>
                    <w:ind w:left="1440" w:firstLine="0"/>
                    <w:jc w:val="left"/>
                    <w:rPr>
                      <w:color w:val="auto"/>
                      <w:sz w:val="24"/>
                      <w:szCs w:val="24"/>
                    </w:rPr>
                  </w:pPr>
                  <w:r>
                    <w:rPr>
                      <w:color w:val="auto"/>
                      <w:sz w:val="24"/>
                      <w:szCs w:val="24"/>
                    </w:rPr>
                    <w:lastRenderedPageBreak/>
                    <w:t>Configuração entre clusters e proteção dos dados</w:t>
                  </w:r>
                </w:p>
                <w:p w14:paraId="27B580AA"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suportar a nativamente a replicação síncrona e assíncrona entre sites geograficamente</w:t>
                  </w:r>
                  <w:r>
                    <w:rPr>
                      <w:color w:val="auto"/>
                      <w:sz w:val="24"/>
                      <w:szCs w:val="24"/>
                    </w:rPr>
                    <w:tab/>
                    <w:t>distantes,</w:t>
                  </w:r>
                  <w:r>
                    <w:rPr>
                      <w:color w:val="auto"/>
                      <w:sz w:val="24"/>
                      <w:szCs w:val="24"/>
                    </w:rPr>
                    <w:tab/>
                    <w:t>atendendo</w:t>
                  </w:r>
                  <w:r>
                    <w:rPr>
                      <w:color w:val="auto"/>
                      <w:sz w:val="24"/>
                      <w:szCs w:val="24"/>
                    </w:rPr>
                    <w:tab/>
                    <w:t>a</w:t>
                  </w:r>
                  <w:r>
                    <w:rPr>
                      <w:color w:val="auto"/>
                      <w:sz w:val="24"/>
                      <w:szCs w:val="24"/>
                    </w:rPr>
                    <w:tab/>
                    <w:t>diferentes</w:t>
                  </w:r>
                  <w:r>
                    <w:rPr>
                      <w:color w:val="auto"/>
                      <w:sz w:val="24"/>
                      <w:szCs w:val="24"/>
                    </w:rPr>
                    <w:tab/>
                    <w:t>requisitos</w:t>
                  </w:r>
                  <w:r>
                    <w:rPr>
                      <w:color w:val="auto"/>
                      <w:sz w:val="24"/>
                      <w:szCs w:val="24"/>
                    </w:rPr>
                    <w:tab/>
                    <w:t>de disponibilidade para as aplicações e serviços em execução nestes clusters. Os modos de replicação deverão ser configuráveis através da mesma console de gerenciamento.</w:t>
                  </w:r>
                </w:p>
                <w:p w14:paraId="7915B998"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Em situação de falência de um cluster, a solução deverá orquestrar o processo de recuperação e restabelecimento das máquinas virtuais no cluster funcional. A solução deverá permitir níveis de proteção por máquinas virtuais individualmente, por conjuntos de máquinas virtuais ou para o cluster em sua totalidade, sendo possível estabelecer sequências de inicialização, reconfiguração de redes, execução de scripts e também permitir a definição de intervalos necessários para funcionamento dos serviços.</w:t>
                  </w:r>
                </w:p>
                <w:p w14:paraId="517DF321"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também deverá possuir a capacidade de proteção e recuperação dos dados armazenados no cluster local, além de permitir a replicação para outro cluster distante geograficamente.</w:t>
                  </w:r>
                </w:p>
                <w:p w14:paraId="67E51D04"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solução deverá permitir, através da interface gráfica de gestão do cluster, a conexão com provedores de nuvens públicas, tais como: Amazon AWS e Microsoft Azure, para que seja possível utilizar serviços de armazenamento em nuvem para proteção dos dados.</w:t>
                  </w:r>
                </w:p>
                <w:p w14:paraId="5B970F1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Tanto para máquinas virtuais Windows como Linux, a solução deve permitir criar grupos de consistência compostos por máquinas virtuais dependentes entre si, tais como aplicação e banco de dados, de modo que elas possam ser protegidas e recuperadas em um estado consistente (crash-consistent). Ainda referente a proteção e recuperação de máquinas virtuais Windows e Linux, a solução deve permitir realizar snapshots com consistência dos dados para aplicação (application consistent), através de integração com VSS e semelhantes. A solução deve permitir que os usuários das máquinas virtuais</w:t>
                  </w:r>
                </w:p>
                <w:p w14:paraId="4D2B1A75" w14:textId="77777777" w:rsidR="007E3741" w:rsidRDefault="007E3741" w:rsidP="007E3741">
                  <w:pPr>
                    <w:pStyle w:val="PargrafodaLista"/>
                    <w:tabs>
                      <w:tab w:val="left" w:pos="320"/>
                    </w:tabs>
                    <w:spacing w:after="0" w:line="240" w:lineRule="auto"/>
                    <w:ind w:left="4320" w:firstLine="0"/>
                    <w:jc w:val="left"/>
                    <w:rPr>
                      <w:color w:val="auto"/>
                      <w:sz w:val="24"/>
                      <w:szCs w:val="24"/>
                    </w:rPr>
                  </w:pPr>
                  <w:r>
                    <w:rPr>
                      <w:color w:val="auto"/>
                      <w:sz w:val="24"/>
                      <w:szCs w:val="24"/>
                    </w:rPr>
                    <w:t>possam recuperar arquivos de maneira granular sem envolvimento do administrador do cluster.</w:t>
                  </w:r>
                </w:p>
                <w:p w14:paraId="09A2D55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Permitir estabelecer pontos de recuperação para máquinas virtuais Windows e Linux com RPO de um minuto para que seja possível restaurar estas máquinas virtuais para um estado sadio na linha do tempo, de modo que o administrador possa escolher através da mesma interface, qual o ponto de recuperação será utilizado.</w:t>
                  </w:r>
                </w:p>
                <w:p w14:paraId="46DE63F6"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Caso a solução para atender ao requisito do item anterior não seja nativa da solução de armazenamento definida por software, será necessário considerar 20% (vinte por cento) de capacidade adicional para área de journal em cada site.</w:t>
                  </w:r>
                </w:p>
                <w:p w14:paraId="5CAD9E8B"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 xml:space="preserve">O licenciamento para o recurso de snapshots das máquinas virtuais no nível da solução de armazenamento definida por software, independentemente do hipervisor, não poderá restringir o número de </w:t>
                  </w:r>
                  <w:r>
                    <w:rPr>
                      <w:color w:val="auto"/>
                      <w:sz w:val="24"/>
                      <w:szCs w:val="24"/>
                    </w:rPr>
                    <w:lastRenderedPageBreak/>
                    <w:t>snapshots e suas retenções, beneficiando-se de um algoritmo que redireciona a escrita para o snapshot, oferecendo mais velocidade e eficiência, sem sacrificar a performance do cluster.</w:t>
                  </w:r>
                </w:p>
                <w:p w14:paraId="0BA833F5"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Caso a solução dependa de componentes de hardware e software específicos para atender aos requisitos de proteção e recuperação dos dados, estes deverão ser fornecidos em conjunto com a solução respeitando a quantidade de clusters e respectivas capacidades especificadas neste termo de referência.</w:t>
                  </w:r>
                </w:p>
                <w:p w14:paraId="4EDE025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No que tange a capacidade de tierização, para configurações compostas por mais de uma camada de armazenamento (tiers), a solução deve ser capaz de mover, em tempo real, dados entre as tiers, para obter maior performance dos dados mais lidos. Toda gravação deverá ocorrer primeiramente na camada de armazenamento mais rápido (tier 0).</w:t>
                  </w:r>
                </w:p>
                <w:p w14:paraId="360C9042"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1B0706DA" w14:textId="77777777" w:rsidR="007E3741" w:rsidRDefault="007E3741" w:rsidP="007E3741">
                  <w:pPr>
                    <w:pStyle w:val="PargrafodaLista"/>
                    <w:numPr>
                      <w:ilvl w:val="2"/>
                      <w:numId w:val="6"/>
                    </w:numPr>
                    <w:tabs>
                      <w:tab w:val="left" w:pos="320"/>
                    </w:tabs>
                    <w:spacing w:after="0" w:line="240" w:lineRule="auto"/>
                    <w:jc w:val="left"/>
                    <w:rPr>
                      <w:color w:val="auto"/>
                      <w:sz w:val="24"/>
                      <w:szCs w:val="24"/>
                    </w:rPr>
                  </w:pPr>
                  <w:r>
                    <w:rPr>
                      <w:color w:val="auto"/>
                      <w:sz w:val="24"/>
                      <w:szCs w:val="24"/>
                    </w:rPr>
                    <w:t>Virtualização e gerenciamento</w:t>
                  </w:r>
                </w:p>
                <w:p w14:paraId="779E889F"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Deverá contemplar todos os nodes da SOLUÇÃO DE NUVEM PRIVADA e deverá ser compatível com o Hipervisor AHV atualmente instalado no Sebrae.</w:t>
                  </w:r>
                </w:p>
                <w:p w14:paraId="17EC3B25"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A CONTRATADA deverá fornecer o licenciamento, suporte e subscrição, válido para toda a vigência da garantia da solução, para o hipervisor nativo da solução hiperconvergente em sua versão mais completa, com a respectiva solução de gerenciamento centralizado de modo a permitir o uso de todas as suas funcionalidades para configuração e gerenciamento de um ambiente altamente disponível.</w:t>
                  </w:r>
                </w:p>
                <w:p w14:paraId="5CA5A5D3"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Permitir operações de live migration (migração da máquina virtual para outro host com a máquina virtual em operação).</w:t>
                  </w:r>
                </w:p>
                <w:p w14:paraId="59D7700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Disponibilizar gerenciador de imagens através de um repositório centralizado e permitir o uso de discos ou imagens nos formatos qcow, qcow2, vmdk, VHD, VHDx, raw, ISO para que seja possível a utilização destes discos e imagens com as máquinas virtuais do cluster.</w:t>
                  </w:r>
                </w:p>
                <w:p w14:paraId="38F0ED3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ser capaz de distribuir os servidores virtuais entre os nós do cluster de modo que ocorra distribuição da carga.</w:t>
                  </w:r>
                </w:p>
                <w:p w14:paraId="0DC8634B"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O hipervisor deverá possuir um planejador (scheduler) com acesso a telemetria do host para tomar decisões de posicionamento das máquinas virtuais:</w:t>
                  </w:r>
                </w:p>
                <w:p w14:paraId="5B95FCB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Posicionamento inicial: a melhor posição em um cluster para inicialização da máquina virtual ou carga de trabalho.</w:t>
                  </w:r>
                </w:p>
                <w:p w14:paraId="240C51AB"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Otimização de tempo de execução: movimento de cargas de trabalho com base em métricas durante tempo de execução.</w:t>
                  </w:r>
                </w:p>
                <w:p w14:paraId="07A5E38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Regras de afinidade e anti-afinidade:</w:t>
                  </w:r>
                </w:p>
                <w:p w14:paraId="021602FE"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Políticas definidas pelo usuário para o local (host) onde será executada a VM.</w:t>
                  </w:r>
                </w:p>
                <w:p w14:paraId="217D7B0E"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lastRenderedPageBreak/>
                    <w:t>Agrupamento de VMs.</w:t>
                  </w:r>
                </w:p>
                <w:p w14:paraId="65E68514"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Separação de VMs.</w:t>
                  </w:r>
                </w:p>
                <w:p w14:paraId="578C3B90"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dispor de switch virtual distribuído baseado em, ou compatível com, Open Virtual Switch (OVS), de modo que a gestão seja centralizada e todas as configurações sejam igualmente aplicadas e mantidas entre todos os hosts do cluster.</w:t>
                  </w:r>
                </w:p>
                <w:p w14:paraId="39D5E15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permitir IP address management (IPAM) para a configuração de pools de endereços IP para atribuição às máquinas virtuais automaticamente sem a necessidade de um serviço de DHCP.</w:t>
                  </w:r>
                </w:p>
                <w:p w14:paraId="5D32EB99"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permitir a visualização de informações dos switches topo de rack na console Web de administração do cluster. Através do protocolo Link Layer Discovery Protocol (LLDP) ou Cisco Discovery Protocol (CDP) a solução deverá prover visualização gráfica das portas dos switches que estão conectadas às respectivas portas de redes das unidades computacionais. Adicionalmente, deverá ser possível a configuração dos protocolos SNMP v3 ou SNMP v2c nos switches topo de rack, para visualizar na mesma interface gráfica de gestão do cluster, as informações estatísticas das interfaces dos switches tais como:</w:t>
                  </w:r>
                </w:p>
                <w:p w14:paraId="05852560"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Número de pacotes unicast transmitidos e recebidos.</w:t>
                  </w:r>
                </w:p>
                <w:p w14:paraId="5FF790B7"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Número de pacotes transmitidos e recebidos com um erro.</w:t>
                  </w:r>
                </w:p>
                <w:p w14:paraId="3777A93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Número de pacotes transmitidos e recebidos que foram descartados.</w:t>
                  </w:r>
                </w:p>
                <w:p w14:paraId="04A2F8E0" w14:textId="77777777" w:rsidR="007E3741" w:rsidRDefault="007E3741" w:rsidP="007E3741">
                  <w:pPr>
                    <w:pStyle w:val="PargrafodaLista"/>
                    <w:tabs>
                      <w:tab w:val="left" w:pos="320"/>
                    </w:tabs>
                    <w:spacing w:after="0" w:line="240" w:lineRule="auto"/>
                    <w:ind w:left="5400" w:firstLine="0"/>
                    <w:jc w:val="left"/>
                    <w:rPr>
                      <w:color w:val="auto"/>
                      <w:sz w:val="24"/>
                      <w:szCs w:val="24"/>
                    </w:rPr>
                  </w:pPr>
                </w:p>
                <w:p w14:paraId="7B3259B3"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Permitir operações de alta disponibilidade automatizada, onde em caso de falha de um nó, as máquinas virtuais que dependam desse recurso, sejam automaticamente iniciadas em outro nó.</w:t>
                  </w:r>
                </w:p>
                <w:p w14:paraId="55A82E4C"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Deve possuir ferramenta de planejamento de capacidade disponível, de forma a permitir a análise dos recursos e indicar máquinas virtuais subdimensionadas, superdimensionadas e inativas, para que seja possível identificação e remediação/otimização através da própria interface de gerenciamento centralizado. A ferramenta de planejamento de capacidade deve permitir simulações de provisionamento de novas aplicações com recomendações de otimização e eventuais capacidades ou equipamentos a serem adicionados ao cluster para que seja possível suportar estas novas aplicações. As simulações poderão ser executadas em múltiplos clusters com seus respectivos Hipervisores.</w:t>
                  </w:r>
                </w:p>
                <w:p w14:paraId="300506A2"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t>Permitir o monitoramento e análise dos elementos de hardware, storage e máquinas virtuais do cluster de modo que a detecção de anomalias no ambiente possam gerar alertas que permitam a solução de gerenciamento disparar ações automatizadas que possibilitem adequação dos recursos computacionais das máquinas virtuais tais como aumento e redução de processamento e memória, reinicialização de máquinas virtuais, envio de notificações para usuários ou outros sistemas de mensageria, realização de snapshots, chamadas via APIs do tipo REST sem necessidade de intervenção do administrador.</w:t>
                  </w:r>
                </w:p>
                <w:p w14:paraId="4BDC3357" w14:textId="77777777" w:rsidR="007E3741" w:rsidRDefault="007E3741" w:rsidP="007E3741">
                  <w:pPr>
                    <w:pStyle w:val="PargrafodaLista"/>
                    <w:numPr>
                      <w:ilvl w:val="3"/>
                      <w:numId w:val="6"/>
                    </w:numPr>
                    <w:tabs>
                      <w:tab w:val="left" w:pos="320"/>
                    </w:tabs>
                    <w:spacing w:after="0" w:line="240" w:lineRule="auto"/>
                    <w:jc w:val="left"/>
                    <w:rPr>
                      <w:color w:val="auto"/>
                      <w:sz w:val="24"/>
                      <w:szCs w:val="24"/>
                    </w:rPr>
                  </w:pPr>
                  <w:r>
                    <w:rPr>
                      <w:color w:val="auto"/>
                      <w:sz w:val="24"/>
                      <w:szCs w:val="24"/>
                    </w:rPr>
                    <w:lastRenderedPageBreak/>
                    <w:t>Deve ser capaz de automatizar o processo de criação de clusters Kubernetes:</w:t>
                  </w:r>
                </w:p>
                <w:p w14:paraId="59AA7D2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 otimizar a implantação e o gerenciamento de clusters Kubernetes com uma interface gráfica simples e integrada ao gerenciamento centralizado dos clusters hiperconvergentes.</w:t>
                  </w:r>
                </w:p>
                <w:p w14:paraId="7C9108C0" w14:textId="77777777" w:rsidR="007E3741" w:rsidRDefault="007E3741" w:rsidP="007E3741">
                  <w:pPr>
                    <w:pStyle w:val="PargrafodaLista"/>
                    <w:tabs>
                      <w:tab w:val="left" w:pos="320"/>
                    </w:tabs>
                    <w:spacing w:after="0" w:line="240" w:lineRule="auto"/>
                    <w:ind w:left="1440" w:firstLine="0"/>
                    <w:jc w:val="left"/>
                    <w:rPr>
                      <w:color w:val="auto"/>
                      <w:sz w:val="24"/>
                      <w:szCs w:val="24"/>
                    </w:rPr>
                  </w:pPr>
                  <w:r>
                    <w:rPr>
                      <w:color w:val="auto"/>
                      <w:sz w:val="24"/>
                      <w:szCs w:val="24"/>
                    </w:rPr>
                    <w:t xml:space="preserve"> </w:t>
                  </w:r>
                </w:p>
                <w:p w14:paraId="6309B30C"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Todo cluster Kubernetes deverá ser instalado com as ferramentas Prometheus, ElasticSearch, Fluent Bit e Kibana (pilha EFK) para monitoração, registro (logging), e alertas. Caso não sejam instaladas com estas ferramentas, deverá ser fornecido com ferramentas semelhantes para exercer as mesmas funções.</w:t>
                  </w:r>
                </w:p>
                <w:p w14:paraId="0626B299"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 realizar o monitoramento contínuo com alertas exibidos na interface de gestão gráfica.</w:t>
                  </w:r>
                </w:p>
                <w:p w14:paraId="159E45E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a configuração de clusters com alta-disponibilidade para os master nodes, com ou sem balanceador de carga.</w:t>
                  </w:r>
                </w:p>
                <w:p w14:paraId="73EBF90B"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a gestão do ciclo de vida com atualizações da versão kubernetes de maneira simples e sem interrupções.</w:t>
                  </w:r>
                </w:p>
                <w:p w14:paraId="3EBE0432"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Prover armazenamento persistente através de integração com Container Storage Interface (CSI) conectados ao SDS para armazenamento de blocos e arquivos. Também deverá ser possível</w:t>
                  </w:r>
                  <w:r>
                    <w:rPr>
                      <w:color w:val="auto"/>
                      <w:sz w:val="24"/>
                      <w:szCs w:val="24"/>
                    </w:rPr>
                    <w:tab/>
                    <w:t>configurar</w:t>
                  </w:r>
                  <w:r>
                    <w:rPr>
                      <w:color w:val="auto"/>
                      <w:sz w:val="24"/>
                      <w:szCs w:val="24"/>
                    </w:rPr>
                    <w:tab/>
                    <w:t>armazenamento</w:t>
                  </w:r>
                  <w:r>
                    <w:rPr>
                      <w:color w:val="auto"/>
                      <w:sz w:val="24"/>
                      <w:szCs w:val="24"/>
                    </w:rPr>
                    <w:tab/>
                    <w:t>de</w:t>
                  </w:r>
                  <w:r>
                    <w:rPr>
                      <w:color w:val="auto"/>
                      <w:sz w:val="24"/>
                      <w:szCs w:val="24"/>
                    </w:rPr>
                    <w:tab/>
                    <w:t>objetos compatível com S3.</w:t>
                  </w:r>
                </w:p>
                <w:p w14:paraId="1AB3CCE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Deverá suportar os modos de acesso ao armazenamento persistente:</w:t>
                  </w:r>
                </w:p>
                <w:p w14:paraId="7EC8927B"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Read-Write-Once.</w:t>
                  </w:r>
                </w:p>
                <w:p w14:paraId="6FA86D58" w14:textId="77777777" w:rsidR="007E3741" w:rsidRDefault="007E3741" w:rsidP="007E3741">
                  <w:pPr>
                    <w:pStyle w:val="PargrafodaLista"/>
                    <w:numPr>
                      <w:ilvl w:val="5"/>
                      <w:numId w:val="6"/>
                    </w:numPr>
                    <w:tabs>
                      <w:tab w:val="left" w:pos="320"/>
                    </w:tabs>
                    <w:spacing w:after="0" w:line="240" w:lineRule="auto"/>
                    <w:jc w:val="left"/>
                    <w:rPr>
                      <w:color w:val="auto"/>
                      <w:sz w:val="24"/>
                      <w:szCs w:val="24"/>
                    </w:rPr>
                  </w:pPr>
                  <w:r>
                    <w:rPr>
                      <w:color w:val="auto"/>
                      <w:sz w:val="24"/>
                      <w:szCs w:val="24"/>
                    </w:rPr>
                    <w:t>7.2.7.13.7.2</w:t>
                  </w:r>
                  <w:r>
                    <w:rPr>
                      <w:color w:val="auto"/>
                      <w:sz w:val="24"/>
                      <w:szCs w:val="24"/>
                    </w:rPr>
                    <w:tab/>
                    <w:t>Read-Write-Many.</w:t>
                  </w:r>
                </w:p>
                <w:p w14:paraId="2B77C221"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filtrar e analisar logs de sistemas, pods e nós.</w:t>
                  </w:r>
                </w:p>
                <w:p w14:paraId="2C5F3AE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Fornecer um mecanismo de monitoramento que aciona alertas no cluster Kubernetes.</w:t>
                  </w:r>
                </w:p>
                <w:p w14:paraId="5C62FA91"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Deverá usar o sistema de monitoramento de saúde para interagir com o Suporte do fabricante objetivando agilizar a resolução de problemas dos cluster Kubernetes.</w:t>
                  </w:r>
                </w:p>
                <w:p w14:paraId="5C33804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escalabilidade (scale out e scale in) dos nodes pela mesma interface gráfica e por linha de comando (CLI).</w:t>
                  </w:r>
                </w:p>
                <w:p w14:paraId="3ECD7B2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 preservar a experiência nativa dos usuários Kubernetes com APIs abertas.</w:t>
                  </w:r>
                </w:p>
                <w:p w14:paraId="6BF9C8E6"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desativar autenticação baseada em senha em todos os nodes Kubernetes de forma que seja possível estabelecer o uso de chaves SSH com validade de até 24h (vinte e quatro horas).</w:t>
                  </w:r>
                </w:p>
                <w:p w14:paraId="689D21EE"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Possuir console de administração WEB sem necessidade de instalação de qualquer componente adicional para essa finalidade.</w:t>
                  </w:r>
                </w:p>
                <w:p w14:paraId="6F2B8365"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O gerenciamento WEB deve ser capaz de gerenciar qualquer hipervisor especificado neste termo de referência.</w:t>
                  </w:r>
                </w:p>
                <w:p w14:paraId="735CB505"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lastRenderedPageBreak/>
                    <w:t>A console WEB deve ser acessível por browsers que suportam a tecnologia HTML5.</w:t>
                  </w:r>
                </w:p>
                <w:p w14:paraId="4699806B"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 console WEB deve fornecer acesso à um Dashboard principal personalizável com informações da saúde do Sistema (cluster) tanto no site local como em sites remotos, sumário dos equipamentos e das Máquinas Virtuais, visão geral da utilização dos recursos computacionais do cluster (processamento, memória, armazenamento), bem como visualização de alertas e eventos, visualização das informações de desempenho da solução (utilização de banda do cluster, IOPS do cluster e latência do cluster).</w:t>
                  </w:r>
                </w:p>
                <w:p w14:paraId="09E06F9A"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Deve permitir, através de uma interface de gestão gráfica, a atualização do storage definido por software, Hipervisor, BIOS e firmwares dos dispositivos de todos os equipamentos do cluster de forma simples e automatizada, eliminando a intervenção manual do administrador e parada no ambiente.</w:t>
                  </w:r>
                </w:p>
                <w:p w14:paraId="02261B8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Com a finalidade de automatizar os processos de implementação, manutenção e gerenciamento do cluster, o sistema operacional em execução na solução hiperconvergente deverá oferecer REST APIs.</w:t>
                  </w:r>
                </w:p>
                <w:p w14:paraId="0AFB90F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O gerenciador do cluster deve enviar periodicamente informações e estatísticas, de maneira automática, para o suporte. Esta funcionalidade tem por objetivo aplicar análises avançadas para otimizar a implementação da solução ou atuar proativamente na identificação de problemas. Deverá ser permitido desabilitar este recurso a qualquer momento através da interface WEB.</w:t>
                  </w:r>
                </w:p>
                <w:p w14:paraId="6FF53C0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Possuir ferramenta de checagem interna integrada a console de gerenciamento, buscando por problemas de saúde no cluster proativamente.</w:t>
                  </w:r>
                </w:p>
                <w:p w14:paraId="2E0CE9BF"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Possuir ferramenta de gerenciamento deve oferecer funcionalidade de planejamento de capacidade para crescimento baseado na carga de trabalho projetada.</w:t>
                  </w:r>
                </w:p>
                <w:p w14:paraId="40700FD7"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Implantar dashboards customizáveis.</w:t>
                  </w:r>
                </w:p>
                <w:p w14:paraId="261C8193"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Possuir ferramenta de gerenciamento com funcionalidade de busca (search) que suporte busca contextualizada.</w:t>
                  </w:r>
                </w:p>
                <w:p w14:paraId="2EA3AF68"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Possuir a funcionalidade de criação de um portal de autosserviço, para que os usuários da infraestrutura disponibilizada pela solução conforme suas permissões, possam Criar, Deletar e Acessar a console de seus servidores virtuais, sem a necessidade da intervenção do administrador da solução.</w:t>
                  </w:r>
                </w:p>
                <w:p w14:paraId="588CFBCD"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Permitir o envio de alertas críticos automaticamente para o fabricante da solução.</w:t>
                  </w:r>
                </w:p>
                <w:p w14:paraId="33A4CB34" w14:textId="77777777" w:rsidR="007E3741" w:rsidRDefault="007E3741" w:rsidP="007E3741">
                  <w:pPr>
                    <w:pStyle w:val="PargrafodaLista"/>
                    <w:numPr>
                      <w:ilvl w:val="4"/>
                      <w:numId w:val="6"/>
                    </w:numPr>
                    <w:tabs>
                      <w:tab w:val="left" w:pos="320"/>
                    </w:tabs>
                    <w:spacing w:after="0" w:line="240" w:lineRule="auto"/>
                    <w:jc w:val="left"/>
                    <w:rPr>
                      <w:color w:val="auto"/>
                      <w:sz w:val="24"/>
                      <w:szCs w:val="24"/>
                    </w:rPr>
                  </w:pPr>
                  <w:r>
                    <w:rPr>
                      <w:color w:val="auto"/>
                      <w:sz w:val="24"/>
                      <w:szCs w:val="24"/>
                    </w:rPr>
                    <w:tab/>
                    <w:t>Permitir envio de alertas e eventos via SNMP.</w:t>
                  </w:r>
                </w:p>
                <w:p w14:paraId="54145AAA" w14:textId="77777777" w:rsidR="007E3741" w:rsidRDefault="007E3741" w:rsidP="007E3741">
                  <w:pPr>
                    <w:pStyle w:val="PargrafodaLista"/>
                    <w:tabs>
                      <w:tab w:val="left" w:pos="320"/>
                    </w:tabs>
                    <w:spacing w:after="0" w:line="240" w:lineRule="auto"/>
                    <w:ind w:left="5400" w:firstLine="0"/>
                    <w:jc w:val="left"/>
                    <w:rPr>
                      <w:color w:val="auto"/>
                      <w:sz w:val="24"/>
                      <w:szCs w:val="24"/>
                    </w:rPr>
                  </w:pPr>
                </w:p>
                <w:p w14:paraId="2BE6FE41" w14:textId="5EC66A2F" w:rsidR="007E3741" w:rsidRPr="007E3741" w:rsidRDefault="007E3741" w:rsidP="007E3741">
                  <w:pPr>
                    <w:pStyle w:val="PargrafodaLista"/>
                    <w:numPr>
                      <w:ilvl w:val="2"/>
                      <w:numId w:val="53"/>
                    </w:numPr>
                    <w:tabs>
                      <w:tab w:val="left" w:pos="320"/>
                    </w:tabs>
                    <w:spacing w:after="0" w:line="240" w:lineRule="auto"/>
                    <w:jc w:val="left"/>
                    <w:rPr>
                      <w:color w:val="auto"/>
                      <w:sz w:val="24"/>
                      <w:szCs w:val="24"/>
                    </w:rPr>
                  </w:pPr>
                  <w:r w:rsidRPr="007E3741">
                    <w:rPr>
                      <w:color w:val="auto"/>
                      <w:sz w:val="24"/>
                      <w:szCs w:val="24"/>
                    </w:rPr>
                    <w:t>Requisitos funcionais do cluster</w:t>
                  </w:r>
                </w:p>
                <w:p w14:paraId="57B4DCED" w14:textId="44899A15" w:rsidR="007E3741" w:rsidRPr="0038749C" w:rsidRDefault="007E3741" w:rsidP="0038749C">
                  <w:pPr>
                    <w:pStyle w:val="PargrafodaLista"/>
                    <w:numPr>
                      <w:ilvl w:val="3"/>
                      <w:numId w:val="53"/>
                    </w:numPr>
                    <w:tabs>
                      <w:tab w:val="left" w:pos="320"/>
                    </w:tabs>
                    <w:spacing w:after="0" w:line="240" w:lineRule="auto"/>
                    <w:jc w:val="left"/>
                    <w:rPr>
                      <w:color w:val="auto"/>
                      <w:sz w:val="24"/>
                      <w:szCs w:val="24"/>
                    </w:rPr>
                  </w:pPr>
                  <w:r w:rsidRPr="0038749C">
                    <w:rPr>
                      <w:color w:val="auto"/>
                      <w:sz w:val="24"/>
                      <w:szCs w:val="24"/>
                    </w:rPr>
                    <w:lastRenderedPageBreak/>
                    <w:t>A solução deverá prover uma estrutura de alta disponibilidade em configuração de cluster para ambiente de virtualização composta de unidades computacionais ou servidores físicos ou appliances ou nós, cada qual com sua respectiva capacidade de processamento, armazenamento e comunicação de rede.</w:t>
                  </w:r>
                </w:p>
                <w:p w14:paraId="508C5DB8"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escalabilidade horizontal, isso é, a adição de novos chassis e novos servidores (nós) ao cluster através de uma console gráfica, sem a parada do ambiente de produção, aumentando como um todo a capacidade de armazenamento, processamento e memória disponibilizados ao hipervisor, além de crescer de forma linear o desempenho/performance do ambiente.</w:t>
                  </w:r>
                </w:p>
                <w:p w14:paraId="33F42BB8"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O procedimento para expansão do cluster deverá ocorrer na mesma interface com assistente que permita tratar as configurações de endereços de rede e garanta que as versões já empregadas no cluster existente sejam transferidas para os novos equipamentos.</w:t>
                  </w:r>
                </w:p>
                <w:p w14:paraId="393DFD72"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adição de um nó por vez.</w:t>
                  </w:r>
                </w:p>
                <w:p w14:paraId="1A30E2D2"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adição de nós que incrementem apenas o armazenamento do cluster de forma independente do processamento e memória.</w:t>
                  </w:r>
                </w:p>
                <w:p w14:paraId="607A550C"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adição de novos equipamentos com geração mais recente no mesmo cluster.</w:t>
                  </w:r>
                </w:p>
                <w:p w14:paraId="501DA77E"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remover equipamento do cluster sem parada no ambiente.</w:t>
                  </w:r>
                </w:p>
                <w:p w14:paraId="1CAF6976"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criar um cluster lógico, agregando todos os discos físicos dos servidores contidos na solução, apresentando um único sistema de arquivos ao hipervisor.</w:t>
                  </w:r>
                </w:p>
                <w:p w14:paraId="106DA1CC"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Permitir pelo menos dois Hipervisores. Deve possuir capacidade de conversão de clusters e de cargas de trabalho de um hipervisor para outro a fim de permitir adequação de custos durante renovações de suporte das licenças fornecidas ou aquisição de novas tecnologias de virtualização, preservando o investimento realizado.</w:t>
                  </w:r>
                </w:p>
                <w:p w14:paraId="58E4BEFD"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Deverão ser fornecidas licenças necessárias para utilização de técnicas de otimização</w:t>
                  </w:r>
                  <w:r>
                    <w:rPr>
                      <w:color w:val="auto"/>
                      <w:sz w:val="24"/>
                      <w:szCs w:val="24"/>
                    </w:rPr>
                    <w:tab/>
                    <w:t>de</w:t>
                  </w:r>
                  <w:r>
                    <w:rPr>
                      <w:color w:val="auto"/>
                      <w:sz w:val="24"/>
                      <w:szCs w:val="24"/>
                    </w:rPr>
                    <w:tab/>
                    <w:t>armazenamento,</w:t>
                  </w:r>
                  <w:r>
                    <w:rPr>
                      <w:color w:val="auto"/>
                      <w:sz w:val="24"/>
                      <w:szCs w:val="24"/>
                    </w:rPr>
                    <w:tab/>
                    <w:t>como por</w:t>
                  </w:r>
                  <w:r>
                    <w:rPr>
                      <w:color w:val="auto"/>
                      <w:sz w:val="24"/>
                      <w:szCs w:val="24"/>
                    </w:rPr>
                    <w:tab/>
                    <w:t>exemplo,</w:t>
                  </w:r>
                  <w:r>
                    <w:rPr>
                      <w:color w:val="auto"/>
                      <w:sz w:val="24"/>
                      <w:szCs w:val="24"/>
                    </w:rPr>
                    <w:tab/>
                    <w:t>compressão, desduplicação e erasure coding.</w:t>
                  </w:r>
                </w:p>
                <w:p w14:paraId="5A7FCC5F"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lastRenderedPageBreak/>
                    <w:t>Deve garantir replicação síncrona de todos os dados gravados localmente para outros servidores que compõem o cluster para redundância dos dados, cada qual com seu respectivo sistema de armazenamento local com garantia de que a promoção e a demoção dos dados ocorram simultaneamente nos servidores do cluster.</w:t>
                  </w:r>
                </w:p>
                <w:p w14:paraId="73D037E5"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A falha ou remoção de um disco não deve interromper o funcionamento de outros discos no mesmo equipamento.</w:t>
                  </w:r>
                </w:p>
                <w:p w14:paraId="15FD2ECD" w14:textId="77777777" w:rsidR="007E3741" w:rsidRDefault="007E3741" w:rsidP="0038749C">
                  <w:pPr>
                    <w:pStyle w:val="PargrafodaLista"/>
                    <w:numPr>
                      <w:ilvl w:val="3"/>
                      <w:numId w:val="53"/>
                    </w:numPr>
                    <w:tabs>
                      <w:tab w:val="left" w:pos="320"/>
                    </w:tabs>
                    <w:spacing w:after="0" w:line="240" w:lineRule="auto"/>
                    <w:jc w:val="left"/>
                    <w:rPr>
                      <w:color w:val="auto"/>
                      <w:sz w:val="24"/>
                      <w:szCs w:val="24"/>
                    </w:rPr>
                  </w:pPr>
                  <w:r>
                    <w:rPr>
                      <w:color w:val="auto"/>
                      <w:sz w:val="24"/>
                      <w:szCs w:val="24"/>
                    </w:rPr>
                    <w:t>Todos os nós do cluster devem participar das operações de reconstrução de disco (rebuild), deixando-os mais eficientes à medida que o cluster cresce em número de nós.</w:t>
                  </w:r>
                </w:p>
                <w:p w14:paraId="2CF92373"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6CD1B65C"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444DE17B" w14:textId="77777777" w:rsidR="007E3741" w:rsidRDefault="007E3741" w:rsidP="0038749C">
                  <w:pPr>
                    <w:pStyle w:val="PargrafodaLista"/>
                    <w:numPr>
                      <w:ilvl w:val="1"/>
                      <w:numId w:val="53"/>
                    </w:numPr>
                    <w:tabs>
                      <w:tab w:val="left" w:pos="320"/>
                    </w:tabs>
                    <w:spacing w:after="0" w:line="240" w:lineRule="auto"/>
                    <w:jc w:val="left"/>
                    <w:rPr>
                      <w:color w:val="auto"/>
                      <w:sz w:val="24"/>
                      <w:szCs w:val="24"/>
                    </w:rPr>
                  </w:pPr>
                  <w:r>
                    <w:rPr>
                      <w:color w:val="auto"/>
                      <w:sz w:val="24"/>
                      <w:szCs w:val="24"/>
                    </w:rPr>
                    <w:t>ITEM 08: Switch 25GE.</w:t>
                  </w:r>
                </w:p>
                <w:p w14:paraId="7AD00179" w14:textId="488A0EAE" w:rsidR="007E3741" w:rsidRPr="0038749C" w:rsidRDefault="007E3741" w:rsidP="0038749C">
                  <w:pPr>
                    <w:pStyle w:val="PargrafodaLista"/>
                    <w:numPr>
                      <w:ilvl w:val="2"/>
                      <w:numId w:val="54"/>
                    </w:numPr>
                    <w:tabs>
                      <w:tab w:val="left" w:pos="320"/>
                    </w:tabs>
                    <w:spacing w:after="0" w:line="240" w:lineRule="auto"/>
                    <w:jc w:val="left"/>
                    <w:rPr>
                      <w:color w:val="auto"/>
                      <w:sz w:val="24"/>
                      <w:szCs w:val="24"/>
                    </w:rPr>
                  </w:pPr>
                  <w:r w:rsidRPr="0038749C">
                    <w:rPr>
                      <w:color w:val="auto"/>
                      <w:sz w:val="24"/>
                      <w:szCs w:val="24"/>
                    </w:rPr>
                    <w:t>Switch Ethernet, 1U Rack Unit, acompanhado de kit de suporte específico para montagem em Rack de 19".</w:t>
                  </w:r>
                </w:p>
                <w:p w14:paraId="18D57E56"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A solução deve vir com as licenças de software necessárias para executar todas as funcionalidades descritas nesta especificação técnica.</w:t>
                  </w:r>
                </w:p>
                <w:p w14:paraId="515C7AFD"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Deverão ser fornecidos equipamentos novos e sem uso anterior. O modelo ofertado deverá estar em linha de produção, sem previsão de encerramento, na data de entrega da proposta.</w:t>
                  </w:r>
                </w:p>
                <w:p w14:paraId="63E71C44"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1 (uma) porta de comunicação serial para gerenciamento e configuração via linha de comando (console). O conector deverá ser no padrão RJ-45 ou RS-232 ou micro USB.</w:t>
                  </w:r>
                </w:p>
                <w:p w14:paraId="34344D2C"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ao menos uma interface USB para transferência de arquivos.</w:t>
                  </w:r>
                </w:p>
                <w:p w14:paraId="55815D1C"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no mínimo 48 (quarenta e oito) portas 10/25GE SFP28.</w:t>
                  </w:r>
                </w:p>
                <w:p w14:paraId="5EDDE9FD"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no mínimo 6 (seis) portas 40/100GE QSFP28.</w:t>
                  </w:r>
                </w:p>
                <w:p w14:paraId="0266818E"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no mínimo 2 (dois) cabos DAC ou AOC 100Gb QSFP28/QSFP28 para formação de cluster com outra unidade.</w:t>
                  </w:r>
                </w:p>
                <w:p w14:paraId="3184D49E"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IEEE 802.3x, STP, RSTP, MSTP, BPDU Guard, IEEE 802.3w, IEEE 802.1p para 8 filas por porta, IEEE 802.3ad para 8 portas por grupo, IEEE 802.1Q para 4.000 Vlans,  IEEE 802.1x, LLDP, Sflow ou NetFlow ou IPFIX ou NetStream ou Telemetria, IGMP v1, v2 e v3 Snooping.</w:t>
                  </w:r>
                </w:p>
                <w:p w14:paraId="4FDD756F"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ab/>
                    <w:t>Implantar roteamento IPv4 e IPv6, RIP, OSPF, BGP, PIM-SM ou PIM-DM, OSPFv3, BGP4+, VRRP, Policy Based Routing, DHCP Relay.</w:t>
                  </w:r>
                </w:p>
                <w:p w14:paraId="7DEF1177"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controle de tráfego por broadcast, broadcast e Unicast</w:t>
                  </w:r>
                </w:p>
                <w:p w14:paraId="577E02E2"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lastRenderedPageBreak/>
                    <w:t>Implantar listas de controle de acesso baseadas em endereço MAC de origem/destino, endereço IP de origem/destino, identificador de VLAN, porta TCP/UDP de destino/origem.</w:t>
                  </w:r>
                </w:p>
                <w:p w14:paraId="18416D4C"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Possuir fontes de alimentação redundantes internas. As fontes de alimentação deverão operar em tensões de 100 a 240 V com frequência de 50/60Hz. Possuir ventiladores redundantes tipo 1+1.</w:t>
                  </w:r>
                </w:p>
                <w:p w14:paraId="210AC43E"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espelhamento de tráfego de forma que o tráfego de várias portas possa ser espelhado em outra para fins de monitoramento e diagnósticos.</w:t>
                  </w:r>
                </w:p>
                <w:p w14:paraId="35174AE0"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TELNET, SSH, NTP ou. SNTP, DNS, FTP ou SFTP, SCP ou SFTP, SNMP v1, v2c e v3, RADIUS ou TACACS.</w:t>
                  </w:r>
                </w:p>
                <w:p w14:paraId="59A050BC"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mecanismos de defesa contra-ataques do tipo DoS ou ARP storms.</w:t>
                  </w:r>
                </w:p>
                <w:p w14:paraId="76462292"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Jumbo Frames de, no mínimo, 9.216 bytes.</w:t>
                  </w:r>
                </w:p>
                <w:p w14:paraId="7BA938EA"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Implantar capacidade de vazão de ao menos 3.6 Tbit/s.</w:t>
                  </w:r>
                </w:p>
                <w:p w14:paraId="25F96F35" w14:textId="77777777" w:rsidR="007E3741" w:rsidRDefault="007E3741" w:rsidP="0038749C">
                  <w:pPr>
                    <w:pStyle w:val="PargrafodaLista"/>
                    <w:tabs>
                      <w:tab w:val="left" w:pos="320"/>
                    </w:tabs>
                    <w:spacing w:after="0" w:line="240" w:lineRule="auto"/>
                    <w:ind w:left="2610" w:firstLine="0"/>
                    <w:jc w:val="left"/>
                    <w:rPr>
                      <w:color w:val="auto"/>
                      <w:sz w:val="24"/>
                      <w:szCs w:val="24"/>
                    </w:rPr>
                  </w:pPr>
                </w:p>
                <w:p w14:paraId="6D2C0404" w14:textId="58633416" w:rsidR="007E3741" w:rsidRPr="0038749C" w:rsidRDefault="007E3741" w:rsidP="0038749C">
                  <w:pPr>
                    <w:pStyle w:val="PargrafodaLista"/>
                    <w:numPr>
                      <w:ilvl w:val="1"/>
                      <w:numId w:val="54"/>
                    </w:numPr>
                    <w:tabs>
                      <w:tab w:val="left" w:pos="320"/>
                    </w:tabs>
                    <w:spacing w:after="0" w:line="240" w:lineRule="auto"/>
                    <w:jc w:val="left"/>
                    <w:rPr>
                      <w:color w:val="auto"/>
                      <w:sz w:val="24"/>
                      <w:szCs w:val="24"/>
                    </w:rPr>
                  </w:pPr>
                  <w:r w:rsidRPr="0038749C">
                    <w:rPr>
                      <w:color w:val="auto"/>
                      <w:sz w:val="24"/>
                      <w:szCs w:val="24"/>
                    </w:rPr>
                    <w:t>ITEM 09: CABO 25GE 5MT.</w:t>
                  </w:r>
                </w:p>
                <w:p w14:paraId="4CA2FD65"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23DFF3EB"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Fornecer 1 (um) cabo AOC SFP28/SFP28 25GBASE-SR.</w:t>
                  </w:r>
                </w:p>
                <w:p w14:paraId="619D4B3F"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O Sebrae poderá optar no momento da emissão da OFB por cabo com comprimento de até 5 (cinco) metros.</w:t>
                  </w:r>
                </w:p>
                <w:p w14:paraId="6A5C97A9"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Possuir compatibilidade comprovada com o Switch ofertado.</w:t>
                  </w:r>
                </w:p>
                <w:p w14:paraId="7D331E2F" w14:textId="77777777" w:rsidR="007E3741" w:rsidRDefault="007E3741" w:rsidP="007E3741">
                  <w:pPr>
                    <w:pStyle w:val="PargrafodaLista"/>
                    <w:tabs>
                      <w:tab w:val="left" w:pos="320"/>
                    </w:tabs>
                    <w:spacing w:after="0" w:line="240" w:lineRule="auto"/>
                    <w:ind w:left="4500" w:firstLine="0"/>
                    <w:jc w:val="left"/>
                    <w:rPr>
                      <w:color w:val="auto"/>
                      <w:sz w:val="24"/>
                      <w:szCs w:val="24"/>
                    </w:rPr>
                  </w:pPr>
                </w:p>
                <w:p w14:paraId="2D19F194" w14:textId="1AFBEC5F" w:rsidR="007E3741" w:rsidRPr="0038749C" w:rsidRDefault="007E3741" w:rsidP="0038749C">
                  <w:pPr>
                    <w:pStyle w:val="PargrafodaLista"/>
                    <w:numPr>
                      <w:ilvl w:val="1"/>
                      <w:numId w:val="54"/>
                    </w:numPr>
                    <w:tabs>
                      <w:tab w:val="left" w:pos="320"/>
                    </w:tabs>
                    <w:spacing w:after="0" w:line="240" w:lineRule="auto"/>
                    <w:jc w:val="left"/>
                    <w:rPr>
                      <w:color w:val="auto"/>
                      <w:sz w:val="24"/>
                      <w:szCs w:val="24"/>
                    </w:rPr>
                  </w:pPr>
                  <w:r w:rsidRPr="0038749C">
                    <w:rPr>
                      <w:color w:val="auto"/>
                      <w:sz w:val="24"/>
                      <w:szCs w:val="24"/>
                    </w:rPr>
                    <w:t>ITEM 10: TRANSCEIVER 40GE-SR.</w:t>
                  </w:r>
                </w:p>
                <w:p w14:paraId="57558205"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0669F00F"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Deve ser fornecido 1 (um) Transceiver 40GBASE-SR QSFP+.</w:t>
                  </w:r>
                </w:p>
                <w:p w14:paraId="292B14B1"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Possuir compatibilidade comprovada com o Switch ofertado.</w:t>
                  </w:r>
                </w:p>
                <w:p w14:paraId="74C58857" w14:textId="77777777" w:rsidR="007E3741" w:rsidRDefault="007E3741" w:rsidP="007E3741">
                  <w:pPr>
                    <w:pStyle w:val="PargrafodaLista"/>
                    <w:numPr>
                      <w:ilvl w:val="2"/>
                      <w:numId w:val="51"/>
                    </w:numPr>
                    <w:tabs>
                      <w:tab w:val="left" w:pos="320"/>
                    </w:tabs>
                    <w:spacing w:after="0" w:line="240" w:lineRule="auto"/>
                    <w:jc w:val="left"/>
                    <w:rPr>
                      <w:color w:val="auto"/>
                      <w:sz w:val="24"/>
                      <w:szCs w:val="24"/>
                    </w:rPr>
                  </w:pPr>
                  <w:r>
                    <w:rPr>
                      <w:color w:val="auto"/>
                      <w:sz w:val="24"/>
                      <w:szCs w:val="24"/>
                    </w:rPr>
                    <w:t>Deve ser fornecido no mínimo 01 (um) cordão óptico LC/LC multimodo OM4. O Sebrae poderá optar no momento da emissão da OFB por cordão com comprimento de até 15 (quinze) metros.</w:t>
                  </w:r>
                </w:p>
                <w:p w14:paraId="590C5ABB"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4A018BC7" w14:textId="2C71B15D" w:rsidR="007E3741" w:rsidRPr="0038749C" w:rsidRDefault="007E3741" w:rsidP="0038749C">
                  <w:pPr>
                    <w:pStyle w:val="PargrafodaLista"/>
                    <w:numPr>
                      <w:ilvl w:val="1"/>
                      <w:numId w:val="54"/>
                    </w:numPr>
                    <w:tabs>
                      <w:tab w:val="left" w:pos="320"/>
                    </w:tabs>
                    <w:spacing w:after="0" w:line="240" w:lineRule="auto"/>
                    <w:jc w:val="left"/>
                    <w:rPr>
                      <w:color w:val="auto"/>
                      <w:sz w:val="24"/>
                      <w:szCs w:val="24"/>
                    </w:rPr>
                  </w:pPr>
                  <w:r w:rsidRPr="0038749C">
                    <w:rPr>
                      <w:color w:val="auto"/>
                      <w:sz w:val="24"/>
                      <w:szCs w:val="24"/>
                    </w:rPr>
                    <w:tab/>
                    <w:t>ITEM 12: SERVIÇO DE INSTALAÇÃO.</w:t>
                  </w:r>
                </w:p>
                <w:p w14:paraId="385C34F3" w14:textId="77777777" w:rsidR="007E3741" w:rsidRDefault="007E3741" w:rsidP="007E3741">
                  <w:pPr>
                    <w:pStyle w:val="PargrafodaLista"/>
                    <w:tabs>
                      <w:tab w:val="left" w:pos="320"/>
                    </w:tabs>
                    <w:spacing w:after="0" w:line="240" w:lineRule="auto"/>
                    <w:ind w:left="1440" w:firstLine="0"/>
                    <w:jc w:val="left"/>
                    <w:rPr>
                      <w:color w:val="auto"/>
                      <w:sz w:val="24"/>
                      <w:szCs w:val="24"/>
                    </w:rPr>
                  </w:pPr>
                </w:p>
                <w:p w14:paraId="44681815"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O serviço de instalação deve contemplar a instalação, configuração, testes, e ativação de todos os serviços que foram ativados da Tabela 01 – Escopo de Fornecimento.</w:t>
                  </w:r>
                </w:p>
                <w:p w14:paraId="6870B43E"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O Projeto Executivo de Instalação (PEI) deve prever:</w:t>
                  </w:r>
                </w:p>
                <w:p w14:paraId="46BFADD4"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lastRenderedPageBreak/>
                    <w:t>Entrega do PEI em até 30 (trinta) dias corridos após a emissão de cada OS.</w:t>
                  </w:r>
                </w:p>
                <w:p w14:paraId="427C68CB"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Cronograma em Microsoft Project (ou similar) com todas as tarefas de implantação, suas dependências e os seus responsáveis, em conformidade com o CRONOGRAMA DE ENTREGA, EXECUÇÃO E PAGAMENTO.</w:t>
                  </w:r>
                </w:p>
                <w:p w14:paraId="39CD183A"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Lista completa dos requisitos necessários para implantação da solução no ambiente da CONTRATANTE.</w:t>
                  </w:r>
                </w:p>
                <w:p w14:paraId="0C2732CE"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utilização de softwares/firmware na versão mais recente que seja considerada estável pelo FABRICANTE.</w:t>
                  </w:r>
                </w:p>
                <w:p w14:paraId="56D4B21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Orientações</w:t>
                  </w:r>
                  <w:r>
                    <w:rPr>
                      <w:color w:val="auto"/>
                      <w:sz w:val="24"/>
                      <w:szCs w:val="24"/>
                    </w:rPr>
                    <w:tab/>
                    <w:t>e</w:t>
                  </w:r>
                  <w:r>
                    <w:rPr>
                      <w:color w:val="auto"/>
                      <w:sz w:val="24"/>
                      <w:szCs w:val="24"/>
                    </w:rPr>
                    <w:tab/>
                    <w:t>sugestões</w:t>
                  </w:r>
                  <w:r>
                    <w:rPr>
                      <w:color w:val="auto"/>
                      <w:sz w:val="24"/>
                      <w:szCs w:val="24"/>
                    </w:rPr>
                    <w:tab/>
                    <w:t>de</w:t>
                  </w:r>
                  <w:r>
                    <w:rPr>
                      <w:color w:val="auto"/>
                      <w:sz w:val="24"/>
                      <w:szCs w:val="24"/>
                    </w:rPr>
                    <w:tab/>
                    <w:t>eventuais</w:t>
                  </w:r>
                  <w:r>
                    <w:rPr>
                      <w:color w:val="auto"/>
                      <w:sz w:val="24"/>
                      <w:szCs w:val="24"/>
                    </w:rPr>
                    <w:tab/>
                    <w:t>ajustes</w:t>
                  </w:r>
                  <w:r>
                    <w:rPr>
                      <w:color w:val="auto"/>
                      <w:sz w:val="24"/>
                      <w:szCs w:val="24"/>
                    </w:rPr>
                    <w:tab/>
                    <w:t>nos</w:t>
                  </w:r>
                  <w:r>
                    <w:rPr>
                      <w:color w:val="auto"/>
                      <w:sz w:val="24"/>
                      <w:szCs w:val="24"/>
                    </w:rPr>
                    <w:tab/>
                    <w:t>equipamentos</w:t>
                  </w:r>
                  <w:r>
                    <w:rPr>
                      <w:color w:val="auto"/>
                      <w:sz w:val="24"/>
                      <w:szCs w:val="24"/>
                    </w:rPr>
                    <w:tab/>
                    <w:t>da CONTRATANTE que serão integrados à solução, de acordo com as melhores práticas.</w:t>
                  </w:r>
                </w:p>
                <w:p w14:paraId="38C22C53"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O projeto executivo deve ainda prever:</w:t>
                  </w:r>
                </w:p>
                <w:p w14:paraId="0C2B368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Instalação, configuração, testes e ativação da solução de acordo com as recomendações de melhores práticas do fabricante.</w:t>
                  </w:r>
                </w:p>
                <w:p w14:paraId="70D8CD95"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Diagrama de arquitetura, demonstrando os componentes da solução e os relacionamentos entre eles.</w:t>
                  </w:r>
                </w:p>
                <w:p w14:paraId="4853D1D4"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Plano de Instalação e configuração de todos os hardwares, softwares e serviços.</w:t>
                  </w:r>
                </w:p>
                <w:p w14:paraId="52A57FDE"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Plano de conexões de rede LAN ou WAN, caso aplicável.</w:t>
                  </w:r>
                </w:p>
                <w:p w14:paraId="322736EC"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Fluxo de Aprovação do Projeto Executivo</w:t>
                  </w:r>
                </w:p>
                <w:p w14:paraId="2572DC52"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CONTRATANTE aprovará o Plano de Implantação em até 5 dias úteis após a sua entrega.</w:t>
                  </w:r>
                </w:p>
                <w:p w14:paraId="427AEE6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CONTRATADA terá até 7 dias úteis para ajuste no Plano de Instalação caso este não seja aprovado pela CONTRATANTE.</w:t>
                  </w:r>
                </w:p>
                <w:p w14:paraId="0119FE75"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CONTRATANTE aprovará o Plano de Implantação Ajustado em até 5 dias úteis após a sua entrega.</w:t>
                  </w:r>
                </w:p>
                <w:p w14:paraId="5D4371B8"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Execução do Projeto Executivo de Instalação - PEI:</w:t>
                  </w:r>
                </w:p>
                <w:p w14:paraId="7F6E87EB"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execução da implantação somente deverá ser iniciada após aprovação do Plano de Implantação e deve seguir as atividades e configurações. Qualquer mudança em algum aspecto do planejamento deve ser comunicada e aprovada pela CONTRATANTE.</w:t>
                  </w:r>
                </w:p>
                <w:p w14:paraId="4E613323"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Os prazos de execução devem estar em conformidade com o CRONOGRAMA DE ENTREGA, EXECUÇÃO E PAGAMENTO.</w:t>
                  </w:r>
                </w:p>
                <w:p w14:paraId="01F3ADCB"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lastRenderedPageBreak/>
                    <w:t>A critério da CONTRATANTE, atividades de implantação podem ser executadas em dias não úteis ou fora do horário comercial.</w:t>
                  </w:r>
                </w:p>
                <w:p w14:paraId="7C5F03A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CONTRATADA deverá prover serviços profissionais para efetuar, no mínimo, os seguintes serviços relacionados aos cluster:</w:t>
                  </w:r>
                </w:p>
                <w:p w14:paraId="641D4098"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Configuração do cluster inicial conforme recomendação do fabricante.</w:t>
                  </w:r>
                </w:p>
                <w:p w14:paraId="5143E6E7"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Configurar os equipamentos para funcionamento em alta disponibilidade, com múltiplos caminhos redundantes aos switches.</w:t>
                  </w:r>
                </w:p>
                <w:p w14:paraId="34FE0409"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Ativação e configuração do hipervisor em cada servidor que compõe o cluster da solução de hiperconvergência.</w:t>
                  </w:r>
                </w:p>
                <w:p w14:paraId="0FED9820"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Configuração da solução de abertura automática de chamados junto ao fabricante.</w:t>
                  </w:r>
                </w:p>
                <w:p w14:paraId="28F1C8B6"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7.12.5.4.5</w:t>
                  </w:r>
                  <w:r>
                    <w:rPr>
                      <w:color w:val="auto"/>
                      <w:sz w:val="24"/>
                      <w:szCs w:val="24"/>
                    </w:rPr>
                    <w:tab/>
                    <w:t>Configuração do ambiente, seguindo as melhores práticas do fabricante, contemplando</w:t>
                  </w:r>
                  <w:r>
                    <w:rPr>
                      <w:color w:val="auto"/>
                      <w:sz w:val="24"/>
                      <w:szCs w:val="24"/>
                    </w:rPr>
                    <w:tab/>
                  </w:r>
                  <w:r>
                    <w:rPr>
                      <w:color w:val="auto"/>
                      <w:sz w:val="24"/>
                      <w:szCs w:val="24"/>
                    </w:rPr>
                    <w:tab/>
                    <w:t>no</w:t>
                  </w:r>
                  <w:r>
                    <w:rPr>
                      <w:color w:val="auto"/>
                      <w:sz w:val="24"/>
                      <w:szCs w:val="24"/>
                    </w:rPr>
                    <w:tab/>
                    <w:t>mínimo</w:t>
                  </w:r>
                  <w:r>
                    <w:rPr>
                      <w:color w:val="auto"/>
                      <w:sz w:val="24"/>
                      <w:szCs w:val="24"/>
                    </w:rPr>
                    <w:tab/>
                    <w:t>as</w:t>
                  </w:r>
                  <w:r>
                    <w:rPr>
                      <w:color w:val="auto"/>
                      <w:sz w:val="24"/>
                      <w:szCs w:val="24"/>
                    </w:rPr>
                    <w:tab/>
                    <w:t>atividades relacionadas</w:t>
                  </w:r>
                  <w:r>
                    <w:rPr>
                      <w:color w:val="auto"/>
                      <w:sz w:val="24"/>
                      <w:szCs w:val="24"/>
                    </w:rPr>
                    <w:tab/>
                    <w:t>a criação</w:t>
                  </w:r>
                  <w:r>
                    <w:rPr>
                      <w:color w:val="auto"/>
                      <w:sz w:val="24"/>
                      <w:szCs w:val="24"/>
                    </w:rPr>
                    <w:tab/>
                    <w:t>do</w:t>
                  </w:r>
                  <w:r>
                    <w:rPr>
                      <w:color w:val="auto"/>
                      <w:sz w:val="24"/>
                      <w:szCs w:val="24"/>
                    </w:rPr>
                    <w:tab/>
                    <w:t>cluster,</w:t>
                  </w:r>
                  <w:r>
                    <w:rPr>
                      <w:color w:val="auto"/>
                      <w:sz w:val="24"/>
                      <w:szCs w:val="24"/>
                    </w:rPr>
                    <w:tab/>
                  </w:r>
                  <w:r>
                    <w:rPr>
                      <w:color w:val="auto"/>
                      <w:sz w:val="24"/>
                      <w:szCs w:val="24"/>
                    </w:rPr>
                    <w:tab/>
                    <w:t>unidades</w:t>
                  </w:r>
                  <w:r>
                    <w:rPr>
                      <w:color w:val="auto"/>
                      <w:sz w:val="24"/>
                      <w:szCs w:val="24"/>
                    </w:rPr>
                    <w:tab/>
                    <w:t>de armazenamento, rede virtual, distribuição automática das cargas de trabalho, desduplicação e compressão, hipervisor, datacenter virtual bem como demais funcionalidades relacionadas ao ambiente.</w:t>
                  </w:r>
                </w:p>
                <w:p w14:paraId="5EADB3B9"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Configuração da estrutura de rede virtual do hipervisor (pelo menos dois Switches Virtuais e cinco grupos de portas ou VLANs).</w:t>
                  </w:r>
                </w:p>
                <w:p w14:paraId="48D4B698"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Instalação, configuração e integração da solução de gerenciamento centralizado da solução de armazenamento de dados definida por software e do ambiente de virtualização.</w:t>
                  </w:r>
                </w:p>
                <w:p w14:paraId="236DBEC3"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Configuração da solução de armazenamento definida por software com as características de eficiência e segurança, tais como compressão, desduplicação, erasure- coding, além da autenticação de usuários (Role-based Access Control) e criptografia de dados com serviço de gerenciamento de chaves criptográficas (KMS), local ou externo ao cluster. Salientamos que é de responsabilidade da CONTRATADA o fornecimento</w:t>
                  </w:r>
                  <w:r>
                    <w:rPr>
                      <w:color w:val="auto"/>
                      <w:sz w:val="24"/>
                      <w:szCs w:val="24"/>
                    </w:rPr>
                    <w:tab/>
                    <w:t>e configuração do</w:t>
                  </w:r>
                  <w:r>
                    <w:rPr>
                      <w:color w:val="auto"/>
                      <w:sz w:val="24"/>
                      <w:szCs w:val="24"/>
                    </w:rPr>
                    <w:tab/>
                    <w:t>KMS</w:t>
                  </w:r>
                  <w:r>
                    <w:rPr>
                      <w:color w:val="auto"/>
                      <w:sz w:val="24"/>
                      <w:szCs w:val="24"/>
                    </w:rPr>
                    <w:tab/>
                    <w:t>em</w:t>
                  </w:r>
                  <w:r>
                    <w:rPr>
                      <w:color w:val="auto"/>
                      <w:sz w:val="24"/>
                      <w:szCs w:val="24"/>
                    </w:rPr>
                    <w:tab/>
                    <w:t>altadisponibilidade, compatível com a funcionalidade de criptografia de dados das soluções de armazenamento de dados ofertadas (definidas por software ou por hardware).</w:t>
                  </w:r>
                </w:p>
                <w:p w14:paraId="443BF4A3"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lastRenderedPageBreak/>
                    <w:t>A solução deverá ser configurada de modo que o hipervisor e as soluções de armazenamento de dados tenham conformidade</w:t>
                  </w:r>
                  <w:r>
                    <w:rPr>
                      <w:color w:val="auto"/>
                      <w:sz w:val="24"/>
                      <w:szCs w:val="24"/>
                    </w:rPr>
                    <w:tab/>
                    <w:t>com</w:t>
                  </w:r>
                  <w:r>
                    <w:rPr>
                      <w:color w:val="auto"/>
                      <w:sz w:val="24"/>
                      <w:szCs w:val="24"/>
                    </w:rPr>
                    <w:tab/>
                    <w:t>as</w:t>
                  </w:r>
                  <w:r>
                    <w:rPr>
                      <w:color w:val="auto"/>
                      <w:sz w:val="24"/>
                      <w:szCs w:val="24"/>
                    </w:rPr>
                    <w:tab/>
                    <w:t>recomendações</w:t>
                  </w:r>
                  <w:r>
                    <w:rPr>
                      <w:color w:val="auto"/>
                      <w:sz w:val="24"/>
                      <w:szCs w:val="24"/>
                    </w:rPr>
                    <w:tab/>
                    <w:t>do Guia</w:t>
                  </w:r>
                  <w:r>
                    <w:rPr>
                      <w:color w:val="auto"/>
                      <w:sz w:val="24"/>
                      <w:szCs w:val="24"/>
                    </w:rPr>
                    <w:tab/>
                    <w:t>de Implementações Técnicas de Segurança (STIG) da Agência de Sistemas de Informação do Departamento de Defesa dos EUA (DISA). As configurações deverão ser minimamente capazes de proteger o carregador de inicialização (boot loader), pacotes, sistema</w:t>
                  </w:r>
                </w:p>
                <w:p w14:paraId="4B24FB17" w14:textId="77777777" w:rsidR="007E3741" w:rsidRDefault="007E3741" w:rsidP="007E3741">
                  <w:pPr>
                    <w:pStyle w:val="PargrafodaLista"/>
                    <w:tabs>
                      <w:tab w:val="left" w:pos="320"/>
                    </w:tabs>
                    <w:spacing w:after="0" w:line="240" w:lineRule="auto"/>
                    <w:ind w:left="8640" w:firstLine="0"/>
                    <w:jc w:val="left"/>
                    <w:rPr>
                      <w:color w:val="auto"/>
                      <w:sz w:val="24"/>
                      <w:szCs w:val="24"/>
                    </w:rPr>
                  </w:pPr>
                  <w:r>
                    <w:rPr>
                      <w:color w:val="auto"/>
                      <w:sz w:val="24"/>
                      <w:szCs w:val="24"/>
                    </w:rPr>
                    <w:t>de arquivos, controle de serviço e inicialização, propriedades de arquivos, autenticação, kernel</w:t>
                  </w:r>
                </w:p>
                <w:p w14:paraId="64C16E15"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Deverá configurar um ambiente avançado de detecção de intrusões (AIDE) gerando uma base de dados contendo todos os arquivos de configuração. O sistema deverá permitir a verificação da integridade dos arquivos e diretórios por meio de comparação com snapshot capturado da base de dados. No caso de alterações inesperadas, a solução deverá gerar um relatório para revisão. Para o caso de alterações válidas, o administrador poderá atualizar a base de dados.</w:t>
                  </w:r>
                </w:p>
                <w:p w14:paraId="6BA8F577"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Tanto para o hipervisor ofertado como para o sistema de armazenamento, deverá ser configurado um modelo padrão com todas as configurações empregadas no cluster de modo que a solução possa corrigir automaticamente qualquer desvio da configuração de segurança do sistema operacional e do hipervisor para permanecer em conformidade. Se algum componente for considerado não compatível, o componente deverá ser restaurado às configurações de segurança suportadas sem nenhuma intervenção do administrador.</w:t>
                  </w:r>
                </w:p>
                <w:p w14:paraId="4BDDCE44" w14:textId="77777777" w:rsidR="007E3741" w:rsidRDefault="007E3741" w:rsidP="0038749C">
                  <w:pPr>
                    <w:pStyle w:val="PargrafodaLista"/>
                    <w:numPr>
                      <w:ilvl w:val="2"/>
                      <w:numId w:val="54"/>
                    </w:numPr>
                    <w:tabs>
                      <w:tab w:val="left" w:pos="320"/>
                    </w:tabs>
                    <w:spacing w:after="0" w:line="240" w:lineRule="auto"/>
                    <w:jc w:val="left"/>
                    <w:rPr>
                      <w:color w:val="auto"/>
                      <w:sz w:val="24"/>
                      <w:szCs w:val="24"/>
                    </w:rPr>
                  </w:pPr>
                  <w:r>
                    <w:rPr>
                      <w:color w:val="auto"/>
                      <w:sz w:val="24"/>
                      <w:szCs w:val="24"/>
                    </w:rPr>
                    <w:t>AS-BUILT:</w:t>
                  </w:r>
                </w:p>
                <w:p w14:paraId="173EE03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 CONTRATADA disponibilizará à CONTRATANTE o AS-BUILT do Projeto Executivo de Instalação – PEI.</w:t>
                  </w:r>
                </w:p>
                <w:p w14:paraId="622D86AF"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Ao término do serviço de instalação deve ser criado um Relatório Técnico</w:t>
                  </w:r>
                </w:p>
                <w:p w14:paraId="0794D174"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Detalhado (As-Built) contendo, no mínimo, as seguintes informações:</w:t>
                  </w:r>
                </w:p>
                <w:p w14:paraId="7333F580"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Diagrama de arquitetura, demonstrando os componentes da solução e os relacionamentos entre eles.</w:t>
                  </w:r>
                </w:p>
                <w:p w14:paraId="2B5E2FB4"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7Procedimento operacional detalhado com as etapas de implantação e detalhamento das configurações realizadas em cada componente da solução.</w:t>
                  </w:r>
                </w:p>
                <w:p w14:paraId="5758DE23"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lastRenderedPageBreak/>
                    <w:t>Resultado da execução do plano de teste.</w:t>
                  </w:r>
                </w:p>
                <w:p w14:paraId="074EC514"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7. Informações de monitoramento da solução.</w:t>
                  </w:r>
                </w:p>
                <w:p w14:paraId="73EB3401" w14:textId="77777777" w:rsidR="007E3741" w:rsidRDefault="007E3741" w:rsidP="0038749C">
                  <w:pPr>
                    <w:pStyle w:val="PargrafodaLista"/>
                    <w:numPr>
                      <w:ilvl w:val="4"/>
                      <w:numId w:val="54"/>
                    </w:numPr>
                    <w:tabs>
                      <w:tab w:val="left" w:pos="320"/>
                    </w:tabs>
                    <w:spacing w:after="0" w:line="240" w:lineRule="auto"/>
                    <w:jc w:val="left"/>
                    <w:rPr>
                      <w:color w:val="auto"/>
                      <w:sz w:val="24"/>
                      <w:szCs w:val="24"/>
                    </w:rPr>
                  </w:pPr>
                  <w:r>
                    <w:rPr>
                      <w:color w:val="auto"/>
                      <w:sz w:val="24"/>
                      <w:szCs w:val="24"/>
                    </w:rPr>
                    <w:t>Informações</w:t>
                  </w:r>
                  <w:r>
                    <w:rPr>
                      <w:color w:val="auto"/>
                      <w:sz w:val="24"/>
                      <w:szCs w:val="24"/>
                    </w:rPr>
                    <w:tab/>
                    <w:t>pertinentes</w:t>
                  </w:r>
                  <w:r>
                    <w:rPr>
                      <w:color w:val="auto"/>
                      <w:sz w:val="24"/>
                      <w:szCs w:val="24"/>
                    </w:rPr>
                    <w:tab/>
                    <w:t>a</w:t>
                  </w:r>
                  <w:r>
                    <w:rPr>
                      <w:color w:val="auto"/>
                      <w:sz w:val="24"/>
                      <w:szCs w:val="24"/>
                    </w:rPr>
                    <w:tab/>
                    <w:t>posterior</w:t>
                  </w:r>
                  <w:r>
                    <w:rPr>
                      <w:color w:val="auto"/>
                      <w:sz w:val="24"/>
                      <w:szCs w:val="24"/>
                    </w:rPr>
                    <w:tab/>
                    <w:t>continuidade e manutenção da solução.</w:t>
                  </w:r>
                </w:p>
                <w:p w14:paraId="2136FCDB" w14:textId="77777777" w:rsidR="007E3741" w:rsidRDefault="007E3741" w:rsidP="0038749C">
                  <w:pPr>
                    <w:pStyle w:val="PargrafodaLista"/>
                    <w:numPr>
                      <w:ilvl w:val="3"/>
                      <w:numId w:val="54"/>
                    </w:numPr>
                    <w:tabs>
                      <w:tab w:val="left" w:pos="320"/>
                    </w:tabs>
                    <w:spacing w:after="0" w:line="240" w:lineRule="auto"/>
                    <w:jc w:val="left"/>
                    <w:rPr>
                      <w:color w:val="auto"/>
                      <w:sz w:val="24"/>
                      <w:szCs w:val="24"/>
                    </w:rPr>
                  </w:pPr>
                  <w:r>
                    <w:rPr>
                      <w:color w:val="auto"/>
                      <w:sz w:val="24"/>
                      <w:szCs w:val="24"/>
                    </w:rPr>
                    <w:t>Referências da documentação oficial do produto para os componentes da solução instalados.</w:t>
                  </w:r>
                </w:p>
                <w:p w14:paraId="558F2603" w14:textId="77777777" w:rsidR="007E3741" w:rsidRDefault="007E3741" w:rsidP="0038749C">
                  <w:pPr>
                    <w:pStyle w:val="PargrafodaLista"/>
                    <w:numPr>
                      <w:ilvl w:val="0"/>
                      <w:numId w:val="54"/>
                    </w:numPr>
                    <w:tabs>
                      <w:tab w:val="left" w:pos="320"/>
                    </w:tabs>
                    <w:spacing w:after="0" w:line="240" w:lineRule="auto"/>
                    <w:jc w:val="left"/>
                    <w:rPr>
                      <w:color w:val="auto"/>
                      <w:sz w:val="24"/>
                      <w:szCs w:val="24"/>
                    </w:rPr>
                  </w:pPr>
                  <w:r>
                    <w:rPr>
                      <w:color w:val="auto"/>
                      <w:sz w:val="24"/>
                      <w:szCs w:val="24"/>
                    </w:rPr>
                    <w:t>Serviços gerais de garantia e suporte.</w:t>
                  </w:r>
                </w:p>
                <w:p w14:paraId="6FB233BA" w14:textId="3881A58A" w:rsidR="007E3741" w:rsidRPr="0038749C" w:rsidRDefault="007E3741" w:rsidP="0038749C">
                  <w:pPr>
                    <w:pStyle w:val="PargrafodaLista"/>
                    <w:numPr>
                      <w:ilvl w:val="1"/>
                      <w:numId w:val="57"/>
                    </w:numPr>
                    <w:tabs>
                      <w:tab w:val="left" w:pos="320"/>
                    </w:tabs>
                    <w:spacing w:after="0" w:line="240" w:lineRule="auto"/>
                    <w:jc w:val="left"/>
                    <w:rPr>
                      <w:color w:val="auto"/>
                      <w:sz w:val="24"/>
                      <w:szCs w:val="24"/>
                    </w:rPr>
                  </w:pPr>
                  <w:r w:rsidRPr="0038749C">
                    <w:rPr>
                      <w:color w:val="auto"/>
                      <w:sz w:val="24"/>
                      <w:szCs w:val="24"/>
                    </w:rPr>
                    <w:t>Os serviços de garantia e suporte devem ser prestados pela CONTRATADA, nos seguintes termos.</w:t>
                  </w:r>
                </w:p>
                <w:p w14:paraId="22776354" w14:textId="77777777" w:rsidR="007E3741" w:rsidRDefault="007E3741" w:rsidP="0038749C">
                  <w:pPr>
                    <w:pStyle w:val="PargrafodaLista"/>
                    <w:numPr>
                      <w:ilvl w:val="1"/>
                      <w:numId w:val="57"/>
                    </w:numPr>
                    <w:tabs>
                      <w:tab w:val="left" w:pos="320"/>
                    </w:tabs>
                    <w:spacing w:after="0" w:line="240" w:lineRule="auto"/>
                    <w:jc w:val="left"/>
                    <w:rPr>
                      <w:color w:val="auto"/>
                      <w:sz w:val="24"/>
                      <w:szCs w:val="24"/>
                    </w:rPr>
                  </w:pPr>
                  <w:r>
                    <w:rPr>
                      <w:color w:val="auto"/>
                      <w:sz w:val="24"/>
                      <w:szCs w:val="24"/>
                    </w:rPr>
                    <w:t>Entende-se por “Garantia” ou “Suporte” ou “Manutenção”, doravante denominada unicamente como “Garantia”, toda atividade do tipo “corretiva” não periódica que variavelmente poderá ocorrer, durante todo o período de prestação de serviços. Esta possui suas causas em falhas e erros no Software/Hardware e trata da correção dos problemas atuais e não iminentes. Esta “Garantia” inclui os procedimentos destinados a recolocar em perfeito estado de operação os serviços, tais como:</w:t>
                  </w:r>
                </w:p>
                <w:p w14:paraId="592A51A0" w14:textId="1921B83F" w:rsidR="007E3741" w:rsidRPr="0038749C" w:rsidRDefault="007E3741" w:rsidP="0038749C">
                  <w:pPr>
                    <w:pStyle w:val="PargrafodaLista"/>
                    <w:numPr>
                      <w:ilvl w:val="2"/>
                      <w:numId w:val="57"/>
                    </w:numPr>
                    <w:tabs>
                      <w:tab w:val="left" w:pos="320"/>
                    </w:tabs>
                    <w:spacing w:after="0" w:line="240" w:lineRule="auto"/>
                    <w:jc w:val="left"/>
                    <w:rPr>
                      <w:color w:val="auto"/>
                      <w:sz w:val="24"/>
                      <w:szCs w:val="24"/>
                    </w:rPr>
                  </w:pPr>
                  <w:r w:rsidRPr="0038749C">
                    <w:rPr>
                      <w:color w:val="auto"/>
                      <w:sz w:val="24"/>
                      <w:szCs w:val="24"/>
                    </w:rPr>
                    <w:t>Do hardware: desinstalação, reconfiguração ou reinstalação decorrente de falhas de fabricação no hardware, fornecimento de peças de reposição, substituição de hardware defeituoso por defeito de fabricação, atualização da versão de drivers e firmwares, correção de defeitos de fabricação, ajustes e reparos necessários, de acordo com os manuais e as normas técnicas específicas para os recursos utilizados.</w:t>
                  </w:r>
                </w:p>
                <w:p w14:paraId="478A453C"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Quando se tratar de problema em disco de armazenamento de dados, o disco defeituoso será mantido ou destruídopela CONTRATANTE para garantia do sigilo das informações, sem prejuízo da reposição do disco com defeito pela CONTRATADA. Deverá ser comprovado pela CONTRATADA essa condição junto ao fabricante, podendo ser por carta do fabricante.</w:t>
                  </w:r>
                </w:p>
                <w:p w14:paraId="1E8EEE08"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Do software: desinstalação, reconfiguração ou reinstalação decorrente de falhas de desenvolvimento do software, atualização da versão de software, correção de defeitos de desenvolvimento do software, de acordo com os manuais e as normas técnicas específicas do fabricante para os recursos utilizados.</w:t>
                  </w:r>
                </w:p>
                <w:p w14:paraId="6C4E7D93"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Quanto às atualizações pertinentes aos softwares: Entende-se como “atualização” o provimento de toda e qualquer evolução de software, oficial e comprovadamente disponibilizada pelo fabricante da solução, incluindo correções, “patches”, “fixes”, “updates”, “service packs”, novas “releases”, “versions”, “builds”, “upgrades”, englobando inclusive versões não sucessivas, nos casos em que a necessidade de atualização de tais versões ocorra durante o período contratado.</w:t>
                  </w:r>
                </w:p>
                <w:p w14:paraId="1A3453FC" w14:textId="77777777" w:rsidR="007E3741" w:rsidRDefault="007E3741" w:rsidP="0038749C">
                  <w:pPr>
                    <w:pStyle w:val="PargrafodaLista"/>
                    <w:numPr>
                      <w:ilvl w:val="1"/>
                      <w:numId w:val="57"/>
                    </w:numPr>
                    <w:tabs>
                      <w:tab w:val="left" w:pos="320"/>
                    </w:tabs>
                    <w:spacing w:after="0" w:line="240" w:lineRule="auto"/>
                    <w:jc w:val="left"/>
                    <w:rPr>
                      <w:color w:val="auto"/>
                      <w:sz w:val="24"/>
                      <w:szCs w:val="24"/>
                    </w:rPr>
                  </w:pPr>
                  <w:r>
                    <w:rPr>
                      <w:color w:val="auto"/>
                      <w:sz w:val="24"/>
                      <w:szCs w:val="24"/>
                    </w:rPr>
                    <w:t xml:space="preserve"> A CONTRATADA aplicará pacotes de correção oficiais do fabricante, em data e horário a serem definidos pela CONTRATANTE, sempre que forem encontradas falhas de laboratório (bugs) ou falhas comprovadas de segurança em software ou firmware dos aparelhos que integrem o objeto do contrato.</w:t>
                  </w:r>
                </w:p>
                <w:p w14:paraId="6486AD75"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lastRenderedPageBreak/>
                    <w:t>O atendimento deste requisito está condicionado a liberação pelo fabricante dos pacotes de correção e/ou novas versões de software, independente da severidade do chamado.</w:t>
                  </w:r>
                </w:p>
                <w:p w14:paraId="1DB94336" w14:textId="77777777" w:rsidR="007E3741" w:rsidRDefault="007E3741" w:rsidP="0038749C">
                  <w:pPr>
                    <w:pStyle w:val="PargrafodaLista"/>
                    <w:numPr>
                      <w:ilvl w:val="1"/>
                      <w:numId w:val="57"/>
                    </w:numPr>
                    <w:tabs>
                      <w:tab w:val="left" w:pos="320"/>
                    </w:tabs>
                    <w:spacing w:after="0" w:line="240" w:lineRule="auto"/>
                    <w:jc w:val="left"/>
                    <w:rPr>
                      <w:color w:val="auto"/>
                      <w:sz w:val="24"/>
                      <w:szCs w:val="24"/>
                    </w:rPr>
                  </w:pPr>
                  <w:r>
                    <w:rPr>
                      <w:color w:val="auto"/>
                      <w:sz w:val="24"/>
                      <w:szCs w:val="24"/>
                    </w:rPr>
                    <w:t>É facultado a CONTRATADA a execução, ao seu planejamento e disponibilidade, de “Garantia” do tipo “Preventiva” que pela sua natureza reduza a incidência de problemas que possam gerar “Garantia” do tipo “Corretiva”.</w:t>
                  </w:r>
                </w:p>
                <w:p w14:paraId="6754430F" w14:textId="77777777" w:rsidR="007E3741" w:rsidRDefault="007E3741" w:rsidP="0038749C">
                  <w:pPr>
                    <w:pStyle w:val="PargrafodaLista"/>
                    <w:numPr>
                      <w:ilvl w:val="1"/>
                      <w:numId w:val="57"/>
                    </w:numPr>
                    <w:tabs>
                      <w:tab w:val="left" w:pos="320"/>
                    </w:tabs>
                    <w:spacing w:after="0" w:line="240" w:lineRule="auto"/>
                    <w:jc w:val="left"/>
                    <w:rPr>
                      <w:color w:val="auto"/>
                      <w:sz w:val="24"/>
                      <w:szCs w:val="24"/>
                    </w:rPr>
                  </w:pPr>
                  <w:r>
                    <w:rPr>
                      <w:color w:val="auto"/>
                      <w:sz w:val="24"/>
                      <w:szCs w:val="24"/>
                    </w:rPr>
                    <w:t>A manutenção técnica do tipo “corretiva” será realizada sempre que solicitada pelo CONTRATANTE por meio da abertura de chamado técnico diretamente à empresa CONTRATADA via telefone (com número do tipo “0800” caso a Central de Atendimento esteja fora de Brasília-DF) ou Internet ou e-mail ou outra forma de contato.</w:t>
                  </w:r>
                </w:p>
                <w:p w14:paraId="269D8B7D" w14:textId="77777777" w:rsidR="007E3741" w:rsidRDefault="007E3741" w:rsidP="0038749C">
                  <w:pPr>
                    <w:pStyle w:val="PargrafodaLista"/>
                    <w:numPr>
                      <w:ilvl w:val="1"/>
                      <w:numId w:val="57"/>
                    </w:numPr>
                    <w:tabs>
                      <w:tab w:val="left" w:pos="320"/>
                    </w:tabs>
                    <w:spacing w:after="0" w:line="240" w:lineRule="auto"/>
                    <w:jc w:val="left"/>
                    <w:rPr>
                      <w:color w:val="auto"/>
                      <w:sz w:val="24"/>
                      <w:szCs w:val="24"/>
                    </w:rPr>
                  </w:pPr>
                  <w:r>
                    <w:rPr>
                      <w:color w:val="auto"/>
                      <w:sz w:val="24"/>
                      <w:szCs w:val="24"/>
                    </w:rPr>
                    <w:t>Os serviços de “Garantia” incluem:</w:t>
                  </w:r>
                </w:p>
                <w:p w14:paraId="04FD099D"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Solução de problemas relativos à indisponibilidade da solução.</w:t>
                  </w:r>
                </w:p>
                <w:p w14:paraId="7A667F48"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Solução de falhas ou defeitos no funcionamento, incluindo a instalação de</w:t>
                  </w:r>
                </w:p>
                <w:p w14:paraId="492DF6A6"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arquivos para correção dos erros.</w:t>
                  </w:r>
                </w:p>
                <w:p w14:paraId="035C2423"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Esclarecimento de dúvidas sobre a prestação dos serviços.</w:t>
                  </w:r>
                </w:p>
                <w:p w14:paraId="00E3006D"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Instalação de novas versões ou atualizações e patches. Esse serviço deverá ser</w:t>
                  </w:r>
                </w:p>
                <w:p w14:paraId="1F94016F"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realizado em horário a ser definido pelo Sebrae.</w:t>
                  </w:r>
                </w:p>
                <w:p w14:paraId="0C07BCC5"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CONTRATADA deve disponibilizar a central atendimento 24 horas por dia, 7 dias da semana e equipe com conhecimentos sólidos no serviço prestado.</w:t>
                  </w:r>
                </w:p>
                <w:p w14:paraId="1FE18E73"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O serviço de “Garantia” deve disponibilizar os seguintes tipos de atendimento:</w:t>
                  </w:r>
                </w:p>
                <w:p w14:paraId="2B228870"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Nível I - Atendimento Telefônico (Help Desk): chamados abertos através de ligação telefônica ou e-mail ou outra forma de contato, em regime de 24x7: 24 horas por dia, 7 dias da semana. Esse serviço deve atender demandas dos usuários referentes ao serviço prestado.</w:t>
                  </w:r>
                </w:p>
                <w:p w14:paraId="66D90AC9"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Nível II - Atendimento Remoto: atendimento remoto de chamados de suporte técnico através de tecnologia disponibilizada pela CONTRATANTE, mediante prévia autorização e seguindo os padrões de segurança da CONTRATANTE, objetivando análise e solução remota dos problemas apresentados.</w:t>
                  </w:r>
                </w:p>
                <w:p w14:paraId="2F7FBE43"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Nível III - Atendimento Presencial (On-Site): atendimentos técnicos realizados nas dependências do CONTRATANTE, através de visita de técnico especializado, com a finalidade de resolver demandas abertas no Help Desk e não solucionadas pelo Atendimento Telefônico e/ou Remoto.</w:t>
                  </w:r>
                </w:p>
                <w:p w14:paraId="52B2EE73"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Toda “Garantia” deve ser solicitada inicialmente via Help Desk (Nível I), ficando a</w:t>
                  </w:r>
                </w:p>
                <w:p w14:paraId="35729103"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transferência do atendimento para o Atendimento Remoto (Nível II) condicionado à autorização da CONTRATANTE.</w:t>
                  </w:r>
                </w:p>
                <w:p w14:paraId="0731F4C3"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lastRenderedPageBreak/>
                    <w:t>Toda “Garantia” solicitada inicialmente via Help Desk (Nível I), deve ser transferido para o Atendimento Presencial (Nível III) quando o atendimento do Help Desk não for suficiente para solução do problema sem a intervenção presencial de um técnico.</w:t>
                  </w:r>
                </w:p>
                <w:p w14:paraId="22879A0F"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Os prazos para a prestação dos serviços devem garantir a observância ao atendimento do seguinte Acordo de Níveis de Serviços (ANS) e sua SEVERIDADE:</w:t>
                  </w:r>
                </w:p>
                <w:p w14:paraId="472DF449" w14:textId="77777777" w:rsidR="007E3741" w:rsidRDefault="007E3741" w:rsidP="007E3741">
                  <w:pPr>
                    <w:pStyle w:val="PargrafodaLista"/>
                    <w:tabs>
                      <w:tab w:val="left" w:pos="320"/>
                    </w:tabs>
                    <w:spacing w:after="0" w:line="240" w:lineRule="auto"/>
                    <w:ind w:left="1780" w:firstLine="0"/>
                    <w:jc w:val="left"/>
                    <w:rPr>
                      <w:color w:val="auto"/>
                      <w:sz w:val="24"/>
                      <w:szCs w:val="24"/>
                    </w:rPr>
                  </w:pPr>
                </w:p>
                <w:p w14:paraId="49016F42"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SEVERIDADE URGENTE – Solução totalmente inoperante.</w:t>
                  </w:r>
                </w:p>
                <w:p w14:paraId="57160F8A"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Prazo máximo de início de atendimento de até 01 hora úteis contadas a partir do horário de abertura do chamado.</w:t>
                  </w:r>
                </w:p>
                <w:p w14:paraId="045F15CD"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Prazo máximo de resolução do problema de até 12 horas úteis contadas a partir do início do atendimento.</w:t>
                  </w:r>
                </w:p>
                <w:p w14:paraId="4ED405D4" w14:textId="77777777" w:rsidR="007E3741" w:rsidRDefault="007E3741" w:rsidP="007E3741">
                  <w:pPr>
                    <w:pStyle w:val="PargrafodaLista"/>
                    <w:tabs>
                      <w:tab w:val="left" w:pos="320"/>
                    </w:tabs>
                    <w:spacing w:after="0" w:line="240" w:lineRule="auto"/>
                    <w:ind w:left="2670" w:firstLine="0"/>
                    <w:jc w:val="left"/>
                    <w:rPr>
                      <w:color w:val="auto"/>
                      <w:sz w:val="24"/>
                      <w:szCs w:val="24"/>
                    </w:rPr>
                  </w:pPr>
                </w:p>
                <w:p w14:paraId="36F0843C"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SEVERIDADE IMPORTANTE – Solução parcialmente inoperante – Necessidade de suporte na solução com a necessidade de interrupção de funcionamento da solução.</w:t>
                  </w:r>
                </w:p>
                <w:p w14:paraId="440DD30E" w14:textId="77777777" w:rsidR="007E3741" w:rsidRDefault="007E3741" w:rsidP="0038749C">
                  <w:pPr>
                    <w:pStyle w:val="PargrafodaLista"/>
                    <w:numPr>
                      <w:ilvl w:val="4"/>
                      <w:numId w:val="57"/>
                    </w:numPr>
                    <w:tabs>
                      <w:tab w:val="left" w:pos="320"/>
                    </w:tabs>
                    <w:spacing w:after="0" w:line="240" w:lineRule="auto"/>
                    <w:jc w:val="left"/>
                    <w:rPr>
                      <w:color w:val="auto"/>
                      <w:sz w:val="24"/>
                      <w:szCs w:val="24"/>
                    </w:rPr>
                  </w:pPr>
                  <w:r>
                    <w:rPr>
                      <w:color w:val="auto"/>
                      <w:sz w:val="24"/>
                      <w:szCs w:val="24"/>
                    </w:rPr>
                    <w:t>Prazo máximo de início de atendimento de até 04 horas úteis contadas a partir do horário de abertura do chamado.</w:t>
                  </w:r>
                </w:p>
                <w:p w14:paraId="61669115" w14:textId="77777777" w:rsidR="007E3741" w:rsidRDefault="007E3741" w:rsidP="0038749C">
                  <w:pPr>
                    <w:pStyle w:val="PargrafodaLista"/>
                    <w:numPr>
                      <w:ilvl w:val="4"/>
                      <w:numId w:val="57"/>
                    </w:numPr>
                    <w:tabs>
                      <w:tab w:val="left" w:pos="320"/>
                    </w:tabs>
                    <w:spacing w:after="0" w:line="240" w:lineRule="auto"/>
                    <w:jc w:val="left"/>
                    <w:rPr>
                      <w:color w:val="auto"/>
                      <w:sz w:val="24"/>
                      <w:szCs w:val="24"/>
                    </w:rPr>
                  </w:pPr>
                  <w:r>
                    <w:rPr>
                      <w:color w:val="auto"/>
                      <w:sz w:val="24"/>
                      <w:szCs w:val="24"/>
                    </w:rPr>
                    <w:t>Prazo máximo de resolução do problema de até 24 horas úteis contadas a partir do início do atendimento.</w:t>
                  </w:r>
                </w:p>
                <w:p w14:paraId="36D8BA08" w14:textId="77777777" w:rsidR="007E3741" w:rsidRDefault="007E3741" w:rsidP="007E3741">
                  <w:pPr>
                    <w:pStyle w:val="PargrafodaLista"/>
                    <w:tabs>
                      <w:tab w:val="left" w:pos="320"/>
                    </w:tabs>
                    <w:spacing w:after="0" w:line="240" w:lineRule="auto"/>
                    <w:ind w:left="3200" w:firstLine="0"/>
                    <w:jc w:val="left"/>
                    <w:rPr>
                      <w:color w:val="auto"/>
                      <w:sz w:val="24"/>
                      <w:szCs w:val="24"/>
                    </w:rPr>
                  </w:pPr>
                </w:p>
                <w:p w14:paraId="336591DC"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SEVERIDADE NORMAL – Solução não inoperante, mas com problema de funcionamento – Necessidade de suporte na solução sem a necessidade de interrupção de funcionamento da solução.</w:t>
                  </w:r>
                </w:p>
                <w:p w14:paraId="5A996D4D" w14:textId="77777777" w:rsidR="007E3741" w:rsidRDefault="007E3741" w:rsidP="0038749C">
                  <w:pPr>
                    <w:pStyle w:val="PargrafodaLista"/>
                    <w:numPr>
                      <w:ilvl w:val="4"/>
                      <w:numId w:val="57"/>
                    </w:numPr>
                    <w:tabs>
                      <w:tab w:val="left" w:pos="320"/>
                    </w:tabs>
                    <w:spacing w:after="0" w:line="240" w:lineRule="auto"/>
                    <w:jc w:val="left"/>
                    <w:rPr>
                      <w:color w:val="auto"/>
                      <w:sz w:val="24"/>
                      <w:szCs w:val="24"/>
                    </w:rPr>
                  </w:pPr>
                  <w:r>
                    <w:rPr>
                      <w:color w:val="auto"/>
                      <w:sz w:val="24"/>
                      <w:szCs w:val="24"/>
                    </w:rPr>
                    <w:t>Prazo máximo de início de atendimento de até 04 horas úteis contadas a partir do horário de abertura do chamado.</w:t>
                  </w:r>
                </w:p>
                <w:p w14:paraId="4B030EA5" w14:textId="77777777" w:rsidR="007E3741" w:rsidRDefault="007E3741" w:rsidP="0038749C">
                  <w:pPr>
                    <w:pStyle w:val="PargrafodaLista"/>
                    <w:numPr>
                      <w:ilvl w:val="4"/>
                      <w:numId w:val="57"/>
                    </w:numPr>
                    <w:tabs>
                      <w:tab w:val="left" w:pos="320"/>
                    </w:tabs>
                    <w:spacing w:after="0" w:line="240" w:lineRule="auto"/>
                    <w:jc w:val="left"/>
                    <w:rPr>
                      <w:color w:val="auto"/>
                      <w:sz w:val="24"/>
                      <w:szCs w:val="24"/>
                    </w:rPr>
                  </w:pPr>
                  <w:r>
                    <w:rPr>
                      <w:color w:val="auto"/>
                      <w:sz w:val="24"/>
                      <w:szCs w:val="24"/>
                    </w:rPr>
                    <w:t>Prazo máximo de resolução do problema de até 48 horas úteis contadas a partir do início do atendimento.</w:t>
                  </w:r>
                </w:p>
                <w:p w14:paraId="4F55AA74" w14:textId="77777777" w:rsidR="007E3741" w:rsidRDefault="007E3741" w:rsidP="007E3741">
                  <w:pPr>
                    <w:pStyle w:val="PargrafodaLista"/>
                    <w:tabs>
                      <w:tab w:val="left" w:pos="320"/>
                    </w:tabs>
                    <w:spacing w:after="0" w:line="240" w:lineRule="auto"/>
                    <w:ind w:left="2670" w:firstLine="0"/>
                    <w:jc w:val="left"/>
                    <w:rPr>
                      <w:color w:val="auto"/>
                      <w:sz w:val="24"/>
                      <w:szCs w:val="24"/>
                    </w:rPr>
                  </w:pPr>
                </w:p>
                <w:p w14:paraId="24790E2B"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SEVERIDADE EXTERNO – Solução inoperante, de forma parcial ou total, fruto de falha de elemento de hardware e/ou software não disponibilizado pela CONTRATADA. Neste caso, ficam suspensos todos os prazos de atendimento até que a CONTRATANTE resolva os problemas externos que provocam a inoperância da solução. Após a CONTRATANTE disponibilizar o ambiente de forma estável para a reativação da solução, a CONTRATADA</w:t>
                  </w:r>
                </w:p>
                <w:p w14:paraId="53213BEC" w14:textId="77777777" w:rsidR="007E3741" w:rsidRDefault="007E3741" w:rsidP="007E3741">
                  <w:pPr>
                    <w:pStyle w:val="PargrafodaLista"/>
                    <w:tabs>
                      <w:tab w:val="left" w:pos="320"/>
                    </w:tabs>
                    <w:spacing w:after="0" w:line="240" w:lineRule="auto"/>
                    <w:ind w:left="2670" w:firstLine="0"/>
                    <w:jc w:val="left"/>
                    <w:rPr>
                      <w:color w:val="auto"/>
                      <w:sz w:val="24"/>
                      <w:szCs w:val="24"/>
                    </w:rPr>
                  </w:pPr>
                  <w:r>
                    <w:rPr>
                      <w:color w:val="auto"/>
                      <w:sz w:val="24"/>
                      <w:szCs w:val="24"/>
                    </w:rPr>
                    <w:lastRenderedPageBreak/>
                    <w:t>realizará avaliação da extensão do dano a solução e as partes definirão em comum acordo o prazo para a reativação da solução.</w:t>
                  </w:r>
                </w:p>
                <w:p w14:paraId="3D049E55" w14:textId="77777777" w:rsidR="007E3741" w:rsidRDefault="007E3741" w:rsidP="007E3741">
                  <w:pPr>
                    <w:pStyle w:val="PargrafodaLista"/>
                    <w:tabs>
                      <w:tab w:val="left" w:pos="320"/>
                    </w:tabs>
                    <w:spacing w:after="0" w:line="240" w:lineRule="auto"/>
                    <w:ind w:left="2670" w:firstLine="0"/>
                    <w:jc w:val="left"/>
                    <w:rPr>
                      <w:color w:val="auto"/>
                      <w:sz w:val="24"/>
                      <w:szCs w:val="24"/>
                    </w:rPr>
                  </w:pPr>
                </w:p>
                <w:p w14:paraId="753AF54C"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SEVERIDADE INFORMAÇÃO – Solicitações de informações diversas ou dúvidas sobre a solução.</w:t>
                  </w:r>
                </w:p>
                <w:p w14:paraId="71E15D51" w14:textId="77777777" w:rsidR="007E3741" w:rsidRDefault="007E3741" w:rsidP="0038749C">
                  <w:pPr>
                    <w:pStyle w:val="PargrafodaLista"/>
                    <w:numPr>
                      <w:ilvl w:val="4"/>
                      <w:numId w:val="57"/>
                    </w:numPr>
                    <w:tabs>
                      <w:tab w:val="left" w:pos="320"/>
                    </w:tabs>
                    <w:spacing w:after="0" w:line="240" w:lineRule="auto"/>
                    <w:jc w:val="left"/>
                    <w:rPr>
                      <w:color w:val="auto"/>
                      <w:sz w:val="24"/>
                      <w:szCs w:val="24"/>
                    </w:rPr>
                  </w:pPr>
                  <w:r>
                    <w:rPr>
                      <w:color w:val="auto"/>
                      <w:sz w:val="24"/>
                      <w:szCs w:val="24"/>
                    </w:rPr>
                    <w:t>Prazo máximo de resposta de até 2 dias úteis, contados a partir da data de abertura</w:t>
                  </w:r>
                </w:p>
                <w:p w14:paraId="6DC5DE3D" w14:textId="77777777" w:rsidR="007E3741" w:rsidRDefault="007E3741" w:rsidP="007E3741">
                  <w:pPr>
                    <w:pStyle w:val="PargrafodaLista"/>
                    <w:tabs>
                      <w:tab w:val="left" w:pos="320"/>
                    </w:tabs>
                    <w:spacing w:after="0" w:line="240" w:lineRule="auto"/>
                    <w:ind w:left="2670" w:firstLine="0"/>
                    <w:jc w:val="left"/>
                    <w:rPr>
                      <w:color w:val="auto"/>
                      <w:sz w:val="24"/>
                      <w:szCs w:val="24"/>
                    </w:rPr>
                  </w:pPr>
                  <w:r>
                    <w:rPr>
                      <w:color w:val="auto"/>
                      <w:sz w:val="24"/>
                      <w:szCs w:val="24"/>
                    </w:rPr>
                    <w:t>da ocorrência.</w:t>
                  </w:r>
                </w:p>
                <w:p w14:paraId="5AEBC710"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Um chamado técnico somente poderá ser fechado após a confirmação do responsável da CONTRATANTE e o término de atendimento dar-se-á com a disponibilidade do recurso para uso em perfeitas condições de funcionamento no local onde está instalado.</w:t>
                  </w:r>
                </w:p>
                <w:p w14:paraId="2240A939"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Na abertura de chamados técnicos, será informado pela CONTRATANTE a severidadedo chamado.</w:t>
                  </w:r>
                </w:p>
                <w:p w14:paraId="25A8C594"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severidade do chamado poderá ser reavaliada pela CONTRATANTE, quando verificado que foi erroneamente aplicada, passando a contar no momento da reavaliação os novos prazos de atendimento e solução.</w:t>
                  </w:r>
                </w:p>
                <w:p w14:paraId="56B07862"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CONTRATADA poderá solicitar a prorrogação de qualquer dos prazos para conclusão de atendimentos de chamados, desde que o faça antes do seu vencimento e devidamente justificado.</w:t>
                  </w:r>
                </w:p>
                <w:p w14:paraId="4B073B97"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Quando o chamado exigir substituição de componentes de Hardware, independente da severidade, o prazo de substituição do componente com defeito é de até 48 horas.</w:t>
                  </w:r>
                </w:p>
                <w:p w14:paraId="6F85F096"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quantidade de chamados atendidos será agrupada em dois índices, calculados separadamente, conforme abaixo:</w:t>
                  </w:r>
                </w:p>
                <w:p w14:paraId="006B9771" w14:textId="7BFB646A" w:rsidR="007E3741" w:rsidRDefault="007E3741" w:rsidP="0038749C">
                  <w:pPr>
                    <w:pStyle w:val="PargrafodaLista"/>
                    <w:numPr>
                      <w:ilvl w:val="3"/>
                      <w:numId w:val="57"/>
                    </w:numPr>
                    <w:tabs>
                      <w:tab w:val="left" w:pos="320"/>
                    </w:tabs>
                    <w:spacing w:after="0" w:line="240" w:lineRule="auto"/>
                    <w:jc w:val="left"/>
                    <w:rPr>
                      <w:color w:val="auto"/>
                      <w:sz w:val="24"/>
                      <w:szCs w:val="24"/>
                    </w:rPr>
                  </w:pPr>
                  <w:r>
                    <w:rPr>
                      <w:b/>
                      <w:bCs/>
                      <w:color w:val="auto"/>
                      <w:sz w:val="24"/>
                      <w:szCs w:val="24"/>
                    </w:rPr>
                    <w:t>Indicador de Início de Atendimento (IIA):</w:t>
                  </w:r>
                  <w:r>
                    <w:rPr>
                      <w:color w:val="auto"/>
                      <w:sz w:val="24"/>
                      <w:szCs w:val="24"/>
                    </w:rPr>
                    <w:t xml:space="preserve"> Mostra o nível de cumprimento do prazo previsto para início de atendimento dos chamados de Atendimento. Deve ser apurado separadamente, por linha </w:t>
                  </w:r>
                  <w:r>
                    <w:rPr>
                      <w:color w:val="auto"/>
                      <w:sz w:val="24"/>
                      <w:szCs w:val="24"/>
                    </w:rPr>
                    <w:lastRenderedPageBreak/>
                    <w:t>de serviço, conforme serviços que estejam em uso pela CONTRATANTE:</w:t>
                  </w:r>
                  <w:r>
                    <w:rPr>
                      <w:noProof/>
                    </w:rPr>
                    <w:t xml:space="preserve"> </w:t>
                  </w:r>
                  <w:r>
                    <w:rPr>
                      <w:noProof/>
                    </w:rPr>
                    <w:drawing>
                      <wp:inline distT="0" distB="0" distL="0" distR="0" wp14:anchorId="753E5A97" wp14:editId="747D0A27">
                        <wp:extent cx="6477000" cy="3476625"/>
                        <wp:effectExtent l="0" t="0" r="0" b="9525"/>
                        <wp:docPr id="83768251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0" cy="3476625"/>
                                </a:xfrm>
                                <a:prstGeom prst="rect">
                                  <a:avLst/>
                                </a:prstGeom>
                                <a:noFill/>
                                <a:ln>
                                  <a:noFill/>
                                </a:ln>
                              </pic:spPr>
                            </pic:pic>
                          </a:graphicData>
                        </a:graphic>
                      </wp:inline>
                    </w:drawing>
                  </w:r>
                </w:p>
                <w:p w14:paraId="3A9D81B9" w14:textId="77777777" w:rsidR="007E3741" w:rsidRDefault="007E3741" w:rsidP="0038749C">
                  <w:pPr>
                    <w:pStyle w:val="PargrafodaLista"/>
                    <w:numPr>
                      <w:ilvl w:val="3"/>
                      <w:numId w:val="57"/>
                    </w:numPr>
                    <w:tabs>
                      <w:tab w:val="left" w:pos="320"/>
                    </w:tabs>
                    <w:spacing w:after="0" w:line="240" w:lineRule="auto"/>
                    <w:ind w:firstLine="0"/>
                    <w:jc w:val="left"/>
                    <w:rPr>
                      <w:color w:val="auto"/>
                      <w:sz w:val="24"/>
                      <w:szCs w:val="24"/>
                    </w:rPr>
                  </w:pPr>
                  <w:r>
                    <w:rPr>
                      <w:b/>
                      <w:bCs/>
                      <w:color w:val="auto"/>
                      <w:sz w:val="24"/>
                      <w:szCs w:val="24"/>
                    </w:rPr>
                    <w:t>Indicador de Tempo de Solução de Atendimento (ITSA):</w:t>
                  </w:r>
                  <w:r>
                    <w:rPr>
                      <w:color w:val="auto"/>
                      <w:sz w:val="24"/>
                      <w:szCs w:val="24"/>
                    </w:rPr>
                    <w:t xml:space="preserve"> Mostra o nível de cumprimento dos prazos previstos para tempo de solução dos chamados de Atendimento. Deve ser apurado separadamente, por linha de serviço, conforme serviços que estejam em uso pela CONTRATANTE:</w:t>
                  </w:r>
                </w:p>
                <w:p w14:paraId="47866E79" w14:textId="77777777" w:rsidR="007E3741" w:rsidRDefault="007E3741" w:rsidP="007E3741">
                  <w:pPr>
                    <w:pStyle w:val="PargrafodaLista"/>
                    <w:tabs>
                      <w:tab w:val="left" w:pos="320"/>
                    </w:tabs>
                    <w:spacing w:after="0" w:line="240" w:lineRule="auto"/>
                    <w:ind w:left="1780" w:firstLine="0"/>
                    <w:jc w:val="left"/>
                    <w:rPr>
                      <w:color w:val="auto"/>
                      <w:sz w:val="24"/>
                      <w:szCs w:val="24"/>
                    </w:rPr>
                  </w:pPr>
                </w:p>
                <w:p w14:paraId="0B48FC37" w14:textId="60443344" w:rsidR="007E3741" w:rsidRDefault="007E3741" w:rsidP="007E3741">
                  <w:pPr>
                    <w:pStyle w:val="PargrafodaLista"/>
                    <w:tabs>
                      <w:tab w:val="left" w:pos="320"/>
                    </w:tabs>
                    <w:spacing w:after="0" w:line="240" w:lineRule="auto"/>
                    <w:ind w:left="2670" w:firstLine="0"/>
                    <w:jc w:val="left"/>
                    <w:rPr>
                      <w:color w:val="auto"/>
                      <w:sz w:val="24"/>
                      <w:szCs w:val="24"/>
                    </w:rPr>
                  </w:pPr>
                  <w:r>
                    <w:rPr>
                      <w:noProof/>
                    </w:rPr>
                    <w:lastRenderedPageBreak/>
                    <w:drawing>
                      <wp:inline distT="0" distB="0" distL="0" distR="0" wp14:anchorId="742657DA" wp14:editId="29ACABB6">
                        <wp:extent cx="6267450" cy="3267075"/>
                        <wp:effectExtent l="0" t="0" r="0" b="9525"/>
                        <wp:docPr id="20065262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7450" cy="3267075"/>
                                </a:xfrm>
                                <a:prstGeom prst="rect">
                                  <a:avLst/>
                                </a:prstGeom>
                                <a:noFill/>
                                <a:ln>
                                  <a:noFill/>
                                </a:ln>
                              </pic:spPr>
                            </pic:pic>
                          </a:graphicData>
                        </a:graphic>
                      </wp:inline>
                    </w:drawing>
                  </w:r>
                </w:p>
                <w:p w14:paraId="0A007ECF" w14:textId="77777777" w:rsidR="007E3741" w:rsidRDefault="007E3741" w:rsidP="007E3741">
                  <w:pPr>
                    <w:tabs>
                      <w:tab w:val="left" w:pos="320"/>
                    </w:tabs>
                    <w:spacing w:after="0" w:line="240" w:lineRule="auto"/>
                    <w:jc w:val="left"/>
                    <w:rPr>
                      <w:color w:val="auto"/>
                      <w:sz w:val="24"/>
                      <w:szCs w:val="24"/>
                    </w:rPr>
                  </w:pPr>
                </w:p>
                <w:p w14:paraId="500D80D9" w14:textId="77777777" w:rsidR="007E3741" w:rsidRDefault="007E3741" w:rsidP="007E3741">
                  <w:pPr>
                    <w:tabs>
                      <w:tab w:val="left" w:pos="320"/>
                    </w:tabs>
                    <w:spacing w:after="0" w:line="240" w:lineRule="auto"/>
                    <w:jc w:val="left"/>
                    <w:rPr>
                      <w:color w:val="auto"/>
                      <w:sz w:val="24"/>
                      <w:szCs w:val="24"/>
                    </w:rPr>
                  </w:pPr>
                </w:p>
                <w:p w14:paraId="3114E0C5"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No mês de apuração, a soma dos valores de glosa dos indicadores IIA e ITSA será descontada do valor devido pela prestação de serviços, limitado a 10%.</w:t>
                  </w:r>
                </w:p>
                <w:p w14:paraId="08FFBA8A"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Os primeiros 90 (noventa) dias a partir da primeira entrega serão considerados como período de estabilização e de ajustes específicos. Durante esse período, o ANS poderão ser flexibilizados por concordância entre as partes.</w:t>
                  </w:r>
                </w:p>
                <w:p w14:paraId="55A3F2DC"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partir do 91º (nonagésimo primeiro) a partir da primeira entrega, todo o passivo de problemas evidenciado deverá estar solucionado, cabendo a aplicação do nível de serviço sobre o passivo não solucionado e cuja responsabilidade seja exclusivamente da CONTRATADA.</w:t>
                  </w:r>
                </w:p>
                <w:p w14:paraId="0DA8BAA4"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cada 3 meses, os ANS poderão ser revistos em comum acordo entre as partes, baseado nos indicadores de atendimento. Esse acordo será firmado mediante nota técnica emitida pela UTIC e respectiva carta de resposta com a concordância da CONTRATADA.</w:t>
                  </w:r>
                </w:p>
                <w:p w14:paraId="1D0CDB74"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lastRenderedPageBreak/>
                    <w:t>Dentro do prazo máximo de início de atendimento, cabe a CONTRATADA acionar o FABRICANTE para execução das providências que serão adotadas para a solução do chamado.</w:t>
                  </w:r>
                </w:p>
                <w:p w14:paraId="114BBB9F"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A interrupção dos serviços de atendimento para chamados de severidades 1 e 2 é vedada até o completo restabelecimento de todas as funções do sistema indisponível.</w:t>
                  </w:r>
                </w:p>
                <w:p w14:paraId="21698B5F" w14:textId="77777777" w:rsidR="007E3741" w:rsidRDefault="007E3741" w:rsidP="0038749C">
                  <w:pPr>
                    <w:pStyle w:val="PargrafodaLista"/>
                    <w:numPr>
                      <w:ilvl w:val="2"/>
                      <w:numId w:val="57"/>
                    </w:numPr>
                    <w:tabs>
                      <w:tab w:val="left" w:pos="320"/>
                    </w:tabs>
                    <w:spacing w:after="0" w:line="240" w:lineRule="auto"/>
                    <w:jc w:val="left"/>
                    <w:rPr>
                      <w:color w:val="auto"/>
                      <w:sz w:val="24"/>
                      <w:szCs w:val="24"/>
                    </w:rPr>
                  </w:pPr>
                  <w:r>
                    <w:rPr>
                      <w:color w:val="auto"/>
                      <w:sz w:val="24"/>
                      <w:szCs w:val="24"/>
                    </w:rPr>
                    <w:t>Não se encaixam nos prazos descritos nos itens referentes aos níveis de criticidade, problemas cuja solução dependam de:</w:t>
                  </w:r>
                </w:p>
                <w:p w14:paraId="69146F5C"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Correção de falhas (bugs) pelo Fabricante.</w:t>
                  </w:r>
                </w:p>
                <w:p w14:paraId="500110EF"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Liberação de novas versões e patches de correção da solução pelo Fabricante.</w:t>
                  </w:r>
                </w:p>
                <w:p w14:paraId="53F38BF9"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Correção de falhas na infraestrutura de TI de responsabilidade da CONTRATANTE.</w:t>
                  </w:r>
                </w:p>
                <w:p w14:paraId="414D9F8E" w14:textId="77777777" w:rsidR="007E3741" w:rsidRDefault="007E3741" w:rsidP="0038749C">
                  <w:pPr>
                    <w:pStyle w:val="PargrafodaLista"/>
                    <w:numPr>
                      <w:ilvl w:val="3"/>
                      <w:numId w:val="57"/>
                    </w:numPr>
                    <w:tabs>
                      <w:tab w:val="left" w:pos="320"/>
                    </w:tabs>
                    <w:spacing w:after="0" w:line="240" w:lineRule="auto"/>
                    <w:jc w:val="left"/>
                    <w:rPr>
                      <w:color w:val="auto"/>
                      <w:sz w:val="24"/>
                      <w:szCs w:val="24"/>
                    </w:rPr>
                  </w:pPr>
                  <w:r>
                    <w:rPr>
                      <w:color w:val="auto"/>
                      <w:sz w:val="24"/>
                      <w:szCs w:val="24"/>
                    </w:rPr>
                    <w:t>Correção de falhas de integração da solução com produtos de terceiros não fornecidos pela CONTRATADA.</w:t>
                  </w:r>
                </w:p>
                <w:p w14:paraId="59EEEB18" w14:textId="77777777" w:rsidR="007E3741" w:rsidRDefault="007E3741" w:rsidP="007E3741">
                  <w:pPr>
                    <w:tabs>
                      <w:tab w:val="left" w:pos="320"/>
                    </w:tabs>
                    <w:spacing w:after="0" w:line="240" w:lineRule="auto"/>
                    <w:jc w:val="left"/>
                    <w:rPr>
                      <w:color w:val="auto"/>
                      <w:sz w:val="24"/>
                      <w:szCs w:val="24"/>
                    </w:rPr>
                  </w:pPr>
                </w:p>
                <w:p w14:paraId="3DBDCFC3" w14:textId="77777777" w:rsidR="007E3741" w:rsidRDefault="007E3741" w:rsidP="0038749C">
                  <w:pPr>
                    <w:pStyle w:val="PargrafodaLista"/>
                    <w:numPr>
                      <w:ilvl w:val="0"/>
                      <w:numId w:val="57"/>
                    </w:numPr>
                    <w:tabs>
                      <w:tab w:val="left" w:pos="320"/>
                    </w:tabs>
                    <w:spacing w:after="0" w:line="240" w:lineRule="auto"/>
                    <w:jc w:val="left"/>
                    <w:rPr>
                      <w:color w:val="auto"/>
                      <w:sz w:val="24"/>
                      <w:szCs w:val="24"/>
                    </w:rPr>
                  </w:pPr>
                  <w:r>
                    <w:rPr>
                      <w:color w:val="auto"/>
                      <w:sz w:val="24"/>
                      <w:szCs w:val="24"/>
                    </w:rPr>
                    <w:t>VISTORIA TÉCNICA</w:t>
                  </w:r>
                </w:p>
                <w:p w14:paraId="35D82FBA" w14:textId="2A27D4A7" w:rsidR="007E3741" w:rsidRDefault="007E3741" w:rsidP="0038749C">
                  <w:pPr>
                    <w:pStyle w:val="PargrafodaLista"/>
                    <w:widowControl w:val="0"/>
                    <w:numPr>
                      <w:ilvl w:val="1"/>
                      <w:numId w:val="57"/>
                    </w:numPr>
                    <w:tabs>
                      <w:tab w:val="left" w:pos="841"/>
                    </w:tabs>
                    <w:autoSpaceDE w:val="0"/>
                    <w:autoSpaceDN w:val="0"/>
                    <w:spacing w:before="2" w:after="0" w:line="280" w:lineRule="auto"/>
                    <w:ind w:right="608"/>
                    <w:rPr>
                      <w:color w:val="auto"/>
                      <w:kern w:val="0"/>
                    </w:rPr>
                  </w:pPr>
                  <w:r>
                    <w:t>É</w:t>
                  </w:r>
                  <w:r>
                    <w:rPr>
                      <w:spacing w:val="-10"/>
                    </w:rPr>
                    <w:t xml:space="preserve"> </w:t>
                  </w:r>
                  <w:r>
                    <w:t>facultado</w:t>
                  </w:r>
                  <w:r>
                    <w:rPr>
                      <w:spacing w:val="-12"/>
                    </w:rPr>
                    <w:t xml:space="preserve"> </w:t>
                  </w:r>
                  <w:r>
                    <w:t>a</w:t>
                  </w:r>
                  <w:r>
                    <w:rPr>
                      <w:spacing w:val="-12"/>
                    </w:rPr>
                    <w:t xml:space="preserve"> </w:t>
                  </w:r>
                  <w:r>
                    <w:t>cada</w:t>
                  </w:r>
                  <w:r>
                    <w:rPr>
                      <w:spacing w:val="-10"/>
                    </w:rPr>
                    <w:t xml:space="preserve"> </w:t>
                  </w:r>
                  <w:r>
                    <w:t>empresa</w:t>
                  </w:r>
                  <w:r>
                    <w:rPr>
                      <w:spacing w:val="-10"/>
                    </w:rPr>
                    <w:t xml:space="preserve"> </w:t>
                  </w:r>
                  <w:r w:rsidR="00F51627">
                    <w:t>Fornecedora</w:t>
                  </w:r>
                  <w:r>
                    <w:rPr>
                      <w:spacing w:val="-11"/>
                    </w:rPr>
                    <w:t xml:space="preserve"> </w:t>
                  </w:r>
                  <w:r>
                    <w:t>a</w:t>
                  </w:r>
                  <w:r>
                    <w:rPr>
                      <w:spacing w:val="-12"/>
                    </w:rPr>
                    <w:t xml:space="preserve"> </w:t>
                  </w:r>
                  <w:r>
                    <w:t>realização</w:t>
                  </w:r>
                  <w:r>
                    <w:rPr>
                      <w:spacing w:val="-10"/>
                    </w:rPr>
                    <w:t xml:space="preserve"> </w:t>
                  </w:r>
                  <w:r>
                    <w:t>de</w:t>
                  </w:r>
                  <w:r>
                    <w:rPr>
                      <w:spacing w:val="-13"/>
                    </w:rPr>
                    <w:t xml:space="preserve"> </w:t>
                  </w:r>
                  <w:r>
                    <w:t>vistoria</w:t>
                  </w:r>
                  <w:r>
                    <w:rPr>
                      <w:spacing w:val="-13"/>
                    </w:rPr>
                    <w:t xml:space="preserve"> </w:t>
                  </w:r>
                  <w:r>
                    <w:t>técnica</w:t>
                  </w:r>
                  <w:r>
                    <w:rPr>
                      <w:spacing w:val="-12"/>
                    </w:rPr>
                    <w:t xml:space="preserve"> </w:t>
                  </w:r>
                  <w:r>
                    <w:t>nas</w:t>
                  </w:r>
                  <w:r>
                    <w:rPr>
                      <w:spacing w:val="-9"/>
                    </w:rPr>
                    <w:t xml:space="preserve"> </w:t>
                  </w:r>
                  <w:r>
                    <w:t xml:space="preserve">instalações do SEBRAE em </w:t>
                  </w:r>
                  <w:r w:rsidR="00F51627">
                    <w:t>Rondônia</w:t>
                  </w:r>
                  <w:r>
                    <w:t>, para conhecimento do ambiente computacional e verificação de eventuais requisitos físicos para o devido provimento dos serviços.</w:t>
                  </w:r>
                </w:p>
                <w:p w14:paraId="41ABBBC7" w14:textId="77777777" w:rsidR="007E3741" w:rsidRDefault="007E3741" w:rsidP="007E3741">
                  <w:pPr>
                    <w:pStyle w:val="Corpodetexto"/>
                    <w:spacing w:before="22"/>
                    <w:ind w:left="0"/>
                    <w:jc w:val="left"/>
                  </w:pPr>
                </w:p>
                <w:p w14:paraId="744F8686" w14:textId="62EB98B1" w:rsidR="007E3741" w:rsidRDefault="007E3741" w:rsidP="0038749C">
                  <w:pPr>
                    <w:pStyle w:val="PargrafodaLista"/>
                    <w:widowControl w:val="0"/>
                    <w:numPr>
                      <w:ilvl w:val="1"/>
                      <w:numId w:val="57"/>
                    </w:numPr>
                    <w:tabs>
                      <w:tab w:val="left" w:pos="840"/>
                    </w:tabs>
                    <w:autoSpaceDE w:val="0"/>
                    <w:autoSpaceDN w:val="0"/>
                    <w:spacing w:after="0" w:line="280" w:lineRule="auto"/>
                    <w:ind w:right="607"/>
                  </w:pPr>
                  <w:r>
                    <w:t>A vistoria deve ser agendada previamente com a UTIC, unidade responsável pela contratação</w:t>
                  </w:r>
                  <w:r>
                    <w:rPr>
                      <w:spacing w:val="-16"/>
                    </w:rPr>
                    <w:t xml:space="preserve"> </w:t>
                  </w:r>
                  <w:r>
                    <w:t>do</w:t>
                  </w:r>
                  <w:r>
                    <w:rPr>
                      <w:spacing w:val="-15"/>
                    </w:rPr>
                    <w:t xml:space="preserve"> </w:t>
                  </w:r>
                  <w:r>
                    <w:t>serviço</w:t>
                  </w:r>
                  <w:r>
                    <w:rPr>
                      <w:spacing w:val="-15"/>
                    </w:rPr>
                    <w:t xml:space="preserve"> </w:t>
                  </w:r>
                  <w:r>
                    <w:t>de</w:t>
                  </w:r>
                  <w:r>
                    <w:rPr>
                      <w:spacing w:val="-16"/>
                    </w:rPr>
                    <w:t xml:space="preserve"> </w:t>
                  </w:r>
                  <w:r>
                    <w:t>segurança,</w:t>
                  </w:r>
                  <w:r>
                    <w:rPr>
                      <w:spacing w:val="-15"/>
                    </w:rPr>
                    <w:t xml:space="preserve"> </w:t>
                  </w:r>
                  <w:r>
                    <w:t>por</w:t>
                  </w:r>
                  <w:r>
                    <w:rPr>
                      <w:spacing w:val="-15"/>
                    </w:rPr>
                    <w:t xml:space="preserve"> </w:t>
                  </w:r>
                  <w:r>
                    <w:t>meio</w:t>
                  </w:r>
                  <w:r>
                    <w:rPr>
                      <w:spacing w:val="-15"/>
                    </w:rPr>
                    <w:t xml:space="preserve"> </w:t>
                  </w:r>
                  <w:r>
                    <w:t>dos</w:t>
                  </w:r>
                  <w:r>
                    <w:rPr>
                      <w:spacing w:val="-16"/>
                    </w:rPr>
                    <w:t xml:space="preserve"> </w:t>
                  </w:r>
                  <w:r>
                    <w:t>telefones</w:t>
                  </w:r>
                  <w:r>
                    <w:rPr>
                      <w:spacing w:val="-15"/>
                    </w:rPr>
                    <w:t xml:space="preserve"> </w:t>
                  </w:r>
                  <w:r>
                    <w:t>(</w:t>
                  </w:r>
                  <w:r w:rsidR="00F51627">
                    <w:t>69)3217.3816</w:t>
                  </w:r>
                  <w:r>
                    <w:t xml:space="preserve">, </w:t>
                  </w:r>
                  <w:r w:rsidR="000B3740">
                    <w:t xml:space="preserve">e/ou e-mail </w:t>
                  </w:r>
                  <w:hyperlink r:id="rId14" w:history="1">
                    <w:r w:rsidR="000B3740" w:rsidRPr="00971F73">
                      <w:rPr>
                        <w:rStyle w:val="Hyperlink"/>
                      </w:rPr>
                      <w:t>chamados@ro.sebrae.com.br</w:t>
                    </w:r>
                  </w:hyperlink>
                  <w:r w:rsidR="000B3740">
                    <w:t xml:space="preserve"> </w:t>
                  </w:r>
                  <w:r>
                    <w:t>e deve ser realizada das 9h às 1</w:t>
                  </w:r>
                  <w:r w:rsidR="00F51627">
                    <w:t>7</w:t>
                  </w:r>
                  <w:r>
                    <w:t>h em dias úteis.</w:t>
                  </w:r>
                </w:p>
                <w:p w14:paraId="29E8BC97" w14:textId="77777777" w:rsidR="007E3741" w:rsidRDefault="007E3741" w:rsidP="007E3741">
                  <w:pPr>
                    <w:pStyle w:val="Corpodetexto"/>
                    <w:spacing w:before="26"/>
                    <w:ind w:left="0"/>
                    <w:jc w:val="left"/>
                  </w:pPr>
                </w:p>
                <w:p w14:paraId="6097B4B6" w14:textId="4CDC08B7" w:rsidR="007E3741" w:rsidRDefault="007E3741" w:rsidP="0038749C">
                  <w:pPr>
                    <w:pStyle w:val="PargrafodaLista"/>
                    <w:widowControl w:val="0"/>
                    <w:numPr>
                      <w:ilvl w:val="1"/>
                      <w:numId w:val="57"/>
                    </w:numPr>
                    <w:tabs>
                      <w:tab w:val="left" w:pos="839"/>
                    </w:tabs>
                    <w:autoSpaceDE w:val="0"/>
                    <w:autoSpaceDN w:val="0"/>
                    <w:spacing w:after="0" w:line="280" w:lineRule="auto"/>
                    <w:ind w:right="609"/>
                  </w:pPr>
                  <w:r>
                    <w:t>Nesse contexto, a vistoria deve ser acompanhada por representante do Sebrae designado a esse fim, o qual certificará a vistoria por meio de declaração comprobatória, que deve</w:t>
                  </w:r>
                  <w:r>
                    <w:rPr>
                      <w:spacing w:val="-16"/>
                    </w:rPr>
                    <w:t xml:space="preserve"> </w:t>
                  </w:r>
                  <w:r>
                    <w:t>ser</w:t>
                  </w:r>
                  <w:r>
                    <w:rPr>
                      <w:spacing w:val="-15"/>
                    </w:rPr>
                    <w:t xml:space="preserve"> </w:t>
                  </w:r>
                  <w:r>
                    <w:t>provida</w:t>
                  </w:r>
                  <w:r>
                    <w:rPr>
                      <w:spacing w:val="-15"/>
                    </w:rPr>
                    <w:t xml:space="preserve"> </w:t>
                  </w:r>
                  <w:r>
                    <w:t>pela</w:t>
                  </w:r>
                  <w:r w:rsidR="008B0B24">
                    <w:t xml:space="preserve"> fornecedora</w:t>
                  </w:r>
                  <w:r>
                    <w:t>,</w:t>
                  </w:r>
                  <w:r>
                    <w:rPr>
                      <w:spacing w:val="-15"/>
                    </w:rPr>
                    <w:t xml:space="preserve"> </w:t>
                  </w:r>
                  <w:r>
                    <w:t>devidamente</w:t>
                  </w:r>
                  <w:r>
                    <w:rPr>
                      <w:spacing w:val="-15"/>
                    </w:rPr>
                    <w:t xml:space="preserve"> </w:t>
                  </w:r>
                  <w:r>
                    <w:t>assinado</w:t>
                  </w:r>
                  <w:r>
                    <w:rPr>
                      <w:spacing w:val="-15"/>
                    </w:rPr>
                    <w:t xml:space="preserve"> </w:t>
                  </w:r>
                  <w:r>
                    <w:t>pelo</w:t>
                  </w:r>
                  <w:r>
                    <w:rPr>
                      <w:spacing w:val="-16"/>
                    </w:rPr>
                    <w:t xml:space="preserve"> </w:t>
                  </w:r>
                  <w:r>
                    <w:t>representante</w:t>
                  </w:r>
                  <w:r>
                    <w:rPr>
                      <w:spacing w:val="-15"/>
                    </w:rPr>
                    <w:t xml:space="preserve"> </w:t>
                  </w:r>
                  <w:r>
                    <w:t>legal</w:t>
                  </w:r>
                  <w:r>
                    <w:rPr>
                      <w:spacing w:val="-15"/>
                    </w:rPr>
                    <w:t xml:space="preserve"> </w:t>
                  </w:r>
                  <w:r>
                    <w:t>da</w:t>
                  </w:r>
                  <w:r>
                    <w:rPr>
                      <w:spacing w:val="-16"/>
                    </w:rPr>
                    <w:t xml:space="preserve"> </w:t>
                  </w:r>
                  <w:r>
                    <w:t>empresa, com firma reconhecida.</w:t>
                  </w:r>
                </w:p>
                <w:p w14:paraId="36FC8B60" w14:textId="77777777" w:rsidR="007E3741" w:rsidRDefault="007E3741" w:rsidP="007E3741">
                  <w:pPr>
                    <w:pStyle w:val="Corpodetexto"/>
                    <w:spacing w:before="26"/>
                    <w:ind w:left="0"/>
                    <w:jc w:val="left"/>
                  </w:pPr>
                </w:p>
                <w:p w14:paraId="117BB2E0" w14:textId="4B83FDA9" w:rsidR="007E3741" w:rsidRDefault="007E3741" w:rsidP="0038749C">
                  <w:pPr>
                    <w:pStyle w:val="PargrafodaLista"/>
                    <w:widowControl w:val="0"/>
                    <w:numPr>
                      <w:ilvl w:val="1"/>
                      <w:numId w:val="57"/>
                    </w:numPr>
                    <w:tabs>
                      <w:tab w:val="left" w:pos="841"/>
                    </w:tabs>
                    <w:autoSpaceDE w:val="0"/>
                    <w:autoSpaceDN w:val="0"/>
                    <w:spacing w:after="0" w:line="280" w:lineRule="auto"/>
                    <w:ind w:right="609"/>
                  </w:pPr>
                  <w:r>
                    <w:t>A</w:t>
                  </w:r>
                  <w:r>
                    <w:rPr>
                      <w:spacing w:val="-8"/>
                    </w:rPr>
                    <w:t xml:space="preserve"> </w:t>
                  </w:r>
                  <w:r w:rsidR="00F51627">
                    <w:rPr>
                      <w:spacing w:val="-8"/>
                    </w:rPr>
                    <w:t>empresa fornecedora</w:t>
                  </w:r>
                  <w:r>
                    <w:t xml:space="preserve"> que optar pela não realização da vistoria deverá apresentar, junto com sua proposta</w:t>
                  </w:r>
                  <w:r>
                    <w:rPr>
                      <w:spacing w:val="-12"/>
                    </w:rPr>
                    <w:t xml:space="preserve"> </w:t>
                  </w:r>
                  <w:r>
                    <w:t>de</w:t>
                  </w:r>
                  <w:r>
                    <w:rPr>
                      <w:spacing w:val="-10"/>
                    </w:rPr>
                    <w:t xml:space="preserve"> </w:t>
                  </w:r>
                  <w:r>
                    <w:t>preços,</w:t>
                  </w:r>
                  <w:r>
                    <w:rPr>
                      <w:spacing w:val="-7"/>
                    </w:rPr>
                    <w:t xml:space="preserve"> </w:t>
                  </w:r>
                  <w:r>
                    <w:t>DECLARAÇÃO</w:t>
                  </w:r>
                  <w:r>
                    <w:rPr>
                      <w:spacing w:val="-7"/>
                    </w:rPr>
                    <w:t xml:space="preserve"> </w:t>
                  </w:r>
                  <w:r>
                    <w:t>DE</w:t>
                  </w:r>
                  <w:r>
                    <w:rPr>
                      <w:spacing w:val="-9"/>
                    </w:rPr>
                    <w:t xml:space="preserve"> </w:t>
                  </w:r>
                  <w:r>
                    <w:t>RECUSA</w:t>
                  </w:r>
                  <w:r>
                    <w:rPr>
                      <w:spacing w:val="-16"/>
                    </w:rPr>
                    <w:t xml:space="preserve"> </w:t>
                  </w:r>
                  <w:r>
                    <w:t>DE</w:t>
                  </w:r>
                  <w:r>
                    <w:rPr>
                      <w:spacing w:val="-8"/>
                    </w:rPr>
                    <w:t xml:space="preserve"> </w:t>
                  </w:r>
                  <w:r>
                    <w:t>VISTORIA,</w:t>
                  </w:r>
                  <w:r>
                    <w:rPr>
                      <w:spacing w:val="-7"/>
                    </w:rPr>
                    <w:t xml:space="preserve"> </w:t>
                  </w:r>
                  <w:r>
                    <w:t>devidamente</w:t>
                  </w:r>
                  <w:r>
                    <w:rPr>
                      <w:spacing w:val="-8"/>
                    </w:rPr>
                    <w:t xml:space="preserve"> </w:t>
                  </w:r>
                  <w:r>
                    <w:t>assinada</w:t>
                  </w:r>
                  <w:r>
                    <w:rPr>
                      <w:spacing w:val="-9"/>
                    </w:rPr>
                    <w:t xml:space="preserve"> </w:t>
                  </w:r>
                  <w:r>
                    <w:t>pelos seus Representantes Legais, atestando que se se responsabiliza por todas as condições de fornecimento, não podendo em qualquer momento de a execução contratual alegar desconhecimento ou impossibilidade para a prestação dos serviços.</w:t>
                  </w:r>
                </w:p>
                <w:p w14:paraId="5189FC69" w14:textId="77777777" w:rsidR="007E3741" w:rsidRDefault="007E3741" w:rsidP="007E3741">
                  <w:pPr>
                    <w:pStyle w:val="PargrafodaLista"/>
                    <w:tabs>
                      <w:tab w:val="left" w:pos="320"/>
                    </w:tabs>
                    <w:spacing w:after="0" w:line="240" w:lineRule="auto"/>
                    <w:ind w:left="408" w:firstLine="0"/>
                    <w:jc w:val="left"/>
                    <w:rPr>
                      <w:color w:val="auto"/>
                      <w:sz w:val="24"/>
                      <w:szCs w:val="24"/>
                    </w:rPr>
                  </w:pPr>
                </w:p>
                <w:p w14:paraId="35A53B76" w14:textId="77777777" w:rsidR="007E3741" w:rsidRDefault="007E3741" w:rsidP="007E3741">
                  <w:pPr>
                    <w:pStyle w:val="PargrafodaLista"/>
                    <w:tabs>
                      <w:tab w:val="left" w:pos="320"/>
                    </w:tabs>
                    <w:spacing w:after="0" w:line="240" w:lineRule="auto"/>
                    <w:ind w:left="1440" w:firstLine="0"/>
                    <w:jc w:val="left"/>
                    <w:rPr>
                      <w:color w:val="auto"/>
                      <w:sz w:val="24"/>
                      <w:szCs w:val="24"/>
                    </w:rPr>
                  </w:pPr>
                </w:p>
              </w:tc>
            </w:tr>
          </w:tbl>
          <w:p w14:paraId="1305C88C" w14:textId="77777777" w:rsidR="004302D3" w:rsidRDefault="004302D3" w:rsidP="004302D3">
            <w:pPr>
              <w:pStyle w:val="PargrafodaLista"/>
              <w:tabs>
                <w:tab w:val="left" w:pos="320"/>
              </w:tabs>
              <w:spacing w:after="0" w:line="240" w:lineRule="auto"/>
              <w:ind w:left="1440" w:firstLine="0"/>
              <w:jc w:val="left"/>
              <w:rPr>
                <w:color w:val="auto"/>
                <w:sz w:val="24"/>
                <w:szCs w:val="24"/>
              </w:rPr>
            </w:pPr>
          </w:p>
          <w:p w14:paraId="6413BF20"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3AB70A4E"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4734074F"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254125B3"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49D9C168"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6AB92952"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473B1656"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3D6FF6E9" w14:textId="77777777" w:rsidR="007E3741" w:rsidRDefault="007E3741" w:rsidP="004302D3">
            <w:pPr>
              <w:pStyle w:val="PargrafodaLista"/>
              <w:tabs>
                <w:tab w:val="left" w:pos="320"/>
              </w:tabs>
              <w:spacing w:after="0" w:line="240" w:lineRule="auto"/>
              <w:ind w:left="1440" w:firstLine="0"/>
              <w:jc w:val="left"/>
              <w:rPr>
                <w:color w:val="auto"/>
                <w:sz w:val="24"/>
                <w:szCs w:val="24"/>
              </w:rPr>
            </w:pPr>
          </w:p>
          <w:p w14:paraId="5D1B818A" w14:textId="582C0EB2" w:rsidR="007E3741" w:rsidRPr="004C0B9A" w:rsidRDefault="007E3741" w:rsidP="004302D3">
            <w:pPr>
              <w:pStyle w:val="PargrafodaLista"/>
              <w:tabs>
                <w:tab w:val="left" w:pos="320"/>
              </w:tabs>
              <w:spacing w:after="0" w:line="240" w:lineRule="auto"/>
              <w:ind w:left="1440" w:firstLine="0"/>
              <w:jc w:val="left"/>
              <w:rPr>
                <w:color w:val="auto"/>
                <w:sz w:val="24"/>
                <w:szCs w:val="24"/>
              </w:rPr>
            </w:pPr>
          </w:p>
        </w:tc>
      </w:tr>
    </w:tbl>
    <w:p w14:paraId="459ADC5E" w14:textId="77777777" w:rsidR="007E3741" w:rsidRDefault="007E3741" w:rsidP="00BA5C9F">
      <w:pPr>
        <w:pStyle w:val="PargrafodaLista"/>
        <w:numPr>
          <w:ilvl w:val="0"/>
          <w:numId w:val="38"/>
        </w:numPr>
        <w:tabs>
          <w:tab w:val="left" w:pos="35"/>
          <w:tab w:val="left" w:pos="319"/>
        </w:tabs>
        <w:spacing w:after="0" w:line="240" w:lineRule="auto"/>
        <w:ind w:left="0" w:firstLine="0"/>
        <w:contextualSpacing w:val="0"/>
        <w:rPr>
          <w:b/>
          <w:bCs/>
          <w:sz w:val="24"/>
          <w:szCs w:val="24"/>
        </w:rPr>
        <w:sectPr w:rsidR="007E3741" w:rsidSect="007E3741">
          <w:pgSz w:w="16838" w:h="11906" w:orient="landscape" w:code="9"/>
          <w:pgMar w:top="1701" w:right="1701" w:bottom="1134" w:left="1418" w:header="0" w:footer="0" w:gutter="0"/>
          <w:cols w:space="708"/>
          <w:docGrid w:linePitch="360"/>
        </w:sectPr>
      </w:pPr>
    </w:p>
    <w:tbl>
      <w:tblPr>
        <w:tblStyle w:val="Tabelacomgrade"/>
        <w:tblW w:w="9072" w:type="dxa"/>
        <w:tblInd w:w="-5" w:type="dxa"/>
        <w:tblLook w:val="04A0" w:firstRow="1" w:lastRow="0" w:firstColumn="1" w:lastColumn="0" w:noHBand="0" w:noVBand="1"/>
      </w:tblPr>
      <w:tblGrid>
        <w:gridCol w:w="9072"/>
      </w:tblGrid>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BA5C9F">
            <w:pPr>
              <w:pStyle w:val="PargrafodaLista"/>
              <w:numPr>
                <w:ilvl w:val="0"/>
                <w:numId w:val="38"/>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BA5C9F">
            <w:pPr>
              <w:pStyle w:val="PargrafodaLista"/>
              <w:numPr>
                <w:ilvl w:val="1"/>
                <w:numId w:val="38"/>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477F4BCF" w14:textId="77777777" w:rsidR="00DC3736" w:rsidRDefault="00DC3736" w:rsidP="007C427C">
            <w:pPr>
              <w:pStyle w:val="PargrafodaLista"/>
              <w:tabs>
                <w:tab w:val="left" w:pos="30"/>
                <w:tab w:val="left" w:pos="319"/>
              </w:tabs>
              <w:spacing w:after="0" w:line="240" w:lineRule="auto"/>
              <w:ind w:left="0" w:firstLine="0"/>
              <w:contextualSpacing w:val="0"/>
              <w:rPr>
                <w:sz w:val="24"/>
                <w:szCs w:val="24"/>
              </w:rPr>
            </w:pPr>
          </w:p>
          <w:p w14:paraId="0973EAEF" w14:textId="5231470B"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BA5C9F">
            <w:pPr>
              <w:pStyle w:val="PargrafodaLista"/>
              <w:numPr>
                <w:ilvl w:val="1"/>
                <w:numId w:val="38"/>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BA5C9F">
            <w:pPr>
              <w:pStyle w:val="PargrafodaLista"/>
              <w:numPr>
                <w:ilvl w:val="0"/>
                <w:numId w:val="38"/>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44498DF4" w14:textId="53077543" w:rsidR="00B05DD3" w:rsidRPr="00EA6617" w:rsidRDefault="00B05DD3" w:rsidP="007C427C">
            <w:pPr>
              <w:pStyle w:val="PargrafodaLista"/>
              <w:tabs>
                <w:tab w:val="left" w:pos="319"/>
              </w:tabs>
              <w:spacing w:after="0" w:line="240" w:lineRule="auto"/>
              <w:ind w:left="0" w:firstLine="0"/>
              <w:rPr>
                <w:b/>
                <w:bCs/>
                <w:sz w:val="20"/>
                <w:szCs w:val="20"/>
              </w:rPr>
            </w:pPr>
            <w:r w:rsidRPr="00EA6617">
              <w:rPr>
                <w:i/>
                <w:iCs/>
                <w:color w:val="FF0000"/>
                <w:sz w:val="20"/>
                <w:szCs w:val="20"/>
              </w:rPr>
              <w:t>(</w:t>
            </w:r>
            <w:r w:rsidR="006043AC" w:rsidRPr="00EA6617">
              <w:rPr>
                <w:i/>
                <w:iCs/>
                <w:color w:val="FF0000"/>
                <w:sz w:val="20"/>
                <w:szCs w:val="20"/>
              </w:rPr>
              <w:t>Se for o caso</w:t>
            </w:r>
            <w:r w:rsidR="007B5B42" w:rsidRPr="00EA6617">
              <w:rPr>
                <w:i/>
                <w:iCs/>
                <w:color w:val="FF0000"/>
                <w:sz w:val="20"/>
                <w:szCs w:val="20"/>
              </w:rPr>
              <w:t>, i</w:t>
            </w:r>
            <w:r w:rsidRPr="00EA6617">
              <w:rPr>
                <w:rStyle w:val="cf01"/>
                <w:rFonts w:ascii="Arial" w:hAnsi="Arial" w:cs="Arial"/>
                <w:color w:val="FF0000"/>
                <w:sz w:val="20"/>
                <w:szCs w:val="20"/>
              </w:rPr>
              <w:t xml:space="preserve">nformar </w:t>
            </w:r>
            <w:r w:rsidR="006043AC" w:rsidRPr="00EA6617">
              <w:rPr>
                <w:rStyle w:val="cf01"/>
                <w:rFonts w:ascii="Arial" w:hAnsi="Arial" w:cs="Arial"/>
                <w:color w:val="FF0000"/>
                <w:sz w:val="20"/>
                <w:szCs w:val="20"/>
              </w:rPr>
              <w:t xml:space="preserve">quais </w:t>
            </w:r>
            <w:r w:rsidRPr="00EA6617">
              <w:rPr>
                <w:rStyle w:val="cf01"/>
                <w:rFonts w:ascii="Arial" w:hAnsi="Arial" w:cs="Arial"/>
                <w:color w:val="FF0000"/>
                <w:sz w:val="20"/>
                <w:szCs w:val="20"/>
              </w:rPr>
              <w:t xml:space="preserve">os </w:t>
            </w:r>
            <w:r w:rsidRPr="00EA6617">
              <w:rPr>
                <w:rStyle w:val="cf11"/>
                <w:rFonts w:ascii="Arial" w:hAnsi="Arial" w:cs="Arial"/>
                <w:color w:val="FF0000"/>
                <w:sz w:val="20"/>
                <w:szCs w:val="20"/>
              </w:rPr>
              <w:t xml:space="preserve">requisitos profissionais </w:t>
            </w:r>
            <w:r w:rsidR="006043AC" w:rsidRPr="00EA6617">
              <w:rPr>
                <w:rStyle w:val="cf11"/>
                <w:rFonts w:ascii="Arial" w:hAnsi="Arial" w:cs="Arial"/>
                <w:color w:val="FF0000"/>
                <w:sz w:val="20"/>
                <w:szCs w:val="20"/>
              </w:rPr>
              <w:t xml:space="preserve">que devem ser </w:t>
            </w:r>
            <w:r w:rsidRPr="00EA6617">
              <w:rPr>
                <w:rStyle w:val="cf11"/>
                <w:rFonts w:ascii="Arial" w:hAnsi="Arial" w:cs="Arial"/>
                <w:color w:val="FF0000"/>
                <w:sz w:val="20"/>
                <w:szCs w:val="20"/>
              </w:rPr>
              <w:t>apresenta</w:t>
            </w:r>
            <w:r w:rsidR="006043AC" w:rsidRPr="00EA6617">
              <w:rPr>
                <w:rStyle w:val="cf11"/>
                <w:rFonts w:ascii="Arial" w:hAnsi="Arial" w:cs="Arial"/>
                <w:color w:val="FF0000"/>
                <w:sz w:val="20"/>
                <w:szCs w:val="20"/>
              </w:rPr>
              <w:t>dos</w:t>
            </w:r>
            <w:r w:rsidRPr="00EA6617">
              <w:rPr>
                <w:rStyle w:val="cf11"/>
                <w:rFonts w:ascii="Arial" w:hAnsi="Arial" w:cs="Arial"/>
                <w:color w:val="FF0000"/>
                <w:sz w:val="20"/>
                <w:szCs w:val="20"/>
              </w:rPr>
              <w:t xml:space="preserve"> </w:t>
            </w:r>
            <w:r w:rsidR="006043AC" w:rsidRPr="00EA6617">
              <w:rPr>
                <w:rStyle w:val="cf11"/>
                <w:rFonts w:ascii="Arial" w:hAnsi="Arial" w:cs="Arial"/>
                <w:color w:val="FF0000"/>
                <w:sz w:val="20"/>
                <w:szCs w:val="20"/>
              </w:rPr>
              <w:t>para</w:t>
            </w:r>
            <w:r w:rsidRPr="00EA6617">
              <w:rPr>
                <w:rStyle w:val="cf11"/>
                <w:rFonts w:ascii="Arial" w:hAnsi="Arial" w:cs="Arial"/>
                <w:color w:val="FF0000"/>
                <w:sz w:val="20"/>
                <w:szCs w:val="20"/>
              </w:rPr>
              <w:t xml:space="preserve"> </w:t>
            </w:r>
            <w:r w:rsidR="006043AC" w:rsidRPr="00EA6617">
              <w:rPr>
                <w:rStyle w:val="cf11"/>
                <w:rFonts w:ascii="Arial" w:hAnsi="Arial" w:cs="Arial"/>
                <w:color w:val="FF0000"/>
                <w:sz w:val="20"/>
                <w:szCs w:val="20"/>
              </w:rPr>
              <w:t>contratação</w:t>
            </w:r>
            <w:r w:rsidR="007B5B42" w:rsidRPr="00EA6617">
              <w:rPr>
                <w:rStyle w:val="cf11"/>
                <w:rFonts w:ascii="Arial" w:hAnsi="Arial" w:cs="Arial"/>
                <w:color w:val="FF0000"/>
                <w:sz w:val="20"/>
                <w:szCs w:val="20"/>
              </w:rPr>
              <w:t>/ exigências especificas de habilitação</w:t>
            </w:r>
            <w:r w:rsidR="006043AC" w:rsidRPr="00EA6617">
              <w:rPr>
                <w:rStyle w:val="cf11"/>
                <w:rFonts w:ascii="Arial" w:hAnsi="Arial" w:cs="Arial"/>
                <w:color w:val="FF0000"/>
                <w:sz w:val="20"/>
                <w:szCs w:val="20"/>
              </w:rPr>
              <w:t>)</w:t>
            </w:r>
          </w:p>
          <w:p w14:paraId="0C7C42E9" w14:textId="77777777" w:rsidR="006043AC" w:rsidRPr="00EA6617" w:rsidRDefault="006043AC" w:rsidP="007C427C">
            <w:pPr>
              <w:pStyle w:val="PargrafodaLista"/>
              <w:spacing w:after="0" w:line="240" w:lineRule="auto"/>
              <w:ind w:left="0" w:firstLine="0"/>
              <w:rPr>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BA5C9F">
            <w:pPr>
              <w:pStyle w:val="PargrafodaLista"/>
              <w:numPr>
                <w:ilvl w:val="0"/>
                <w:numId w:val="38"/>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185FB600"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E1463D">
              <w:rPr>
                <w:rFonts w:ascii="Arial" w:hAnsi="Arial" w:cs="Arial"/>
                <w:color w:val="FF0000"/>
                <w:bdr w:val="none" w:sz="0" w:space="0" w:color="auto" w:frame="1"/>
              </w:rPr>
              <w:t>12</w:t>
            </w:r>
            <w:r w:rsidRPr="00B47728">
              <w:rPr>
                <w:rFonts w:ascii="Arial" w:hAnsi="Arial" w:cs="Arial"/>
                <w:color w:val="FF0000"/>
                <w:bdr w:val="none" w:sz="0" w:space="0" w:color="auto" w:frame="1"/>
              </w:rPr>
              <w:t> (</w:t>
            </w:r>
            <w:r w:rsidR="00E1463D">
              <w:rPr>
                <w:rFonts w:ascii="Arial" w:hAnsi="Arial" w:cs="Arial"/>
                <w:color w:val="FF0000"/>
                <w:bdr w:val="none" w:sz="0" w:space="0" w:color="auto" w:frame="1"/>
              </w:rPr>
              <w:t>Doze</w:t>
            </w:r>
            <w:r w:rsidRPr="00B47728">
              <w:rPr>
                <w:rFonts w:ascii="Arial" w:hAnsi="Arial" w:cs="Arial"/>
                <w:color w:val="FF0000"/>
                <w:bdr w:val="none" w:sz="0" w:space="0" w:color="auto" w:frame="1"/>
              </w:rPr>
              <w:t>) meses</w:t>
            </w:r>
            <w:r w:rsidRPr="00B47728">
              <w:rPr>
                <w:rFonts w:ascii="Arial" w:hAnsi="Arial" w:cs="Arial"/>
                <w:color w:val="242424"/>
                <w:bdr w:val="none" w:sz="0" w:space="0" w:color="auto" w:frame="1"/>
              </w:rPr>
              <w:t xml:space="preserve">, contados a partir da data de assinatura, podendo ser prorrogado, não ultrapassando o limite estipulado em Resolução CDN nº </w:t>
            </w:r>
            <w:r w:rsidR="000F653C">
              <w:rPr>
                <w:rFonts w:ascii="Arial" w:hAnsi="Arial" w:cs="Arial"/>
                <w:color w:val="242424"/>
                <w:bdr w:val="none" w:sz="0" w:space="0" w:color="auto" w:frame="1"/>
              </w:rPr>
              <w:t>493/2024</w:t>
            </w:r>
            <w:r w:rsidRPr="00B47728">
              <w:rPr>
                <w:rFonts w:ascii="Arial" w:hAnsi="Arial" w:cs="Arial"/>
                <w:color w:val="242424"/>
                <w:bdr w:val="none" w:sz="0" w:space="0" w:color="auto" w:frame="1"/>
              </w:rPr>
              <w:t>,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BA5C9F">
            <w:pPr>
              <w:pStyle w:val="PargrafodaLista"/>
              <w:numPr>
                <w:ilvl w:val="0"/>
                <w:numId w:val="38"/>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3028BFD2" w14:textId="74707999" w:rsidR="004B2BA7" w:rsidRPr="00EA6617" w:rsidRDefault="000F653C" w:rsidP="004B2BA7">
            <w:pPr>
              <w:pStyle w:val="PargrafodaLista"/>
              <w:tabs>
                <w:tab w:val="left" w:pos="320"/>
              </w:tabs>
              <w:spacing w:after="0" w:line="240" w:lineRule="auto"/>
              <w:ind w:left="0" w:firstLine="0"/>
              <w:rPr>
                <w:i/>
                <w:iCs/>
                <w:color w:val="FF0000"/>
                <w:sz w:val="20"/>
                <w:szCs w:val="20"/>
              </w:rPr>
            </w:pPr>
            <w:r>
              <w:rPr>
                <w:i/>
                <w:iCs/>
                <w:color w:val="FF0000"/>
                <w:sz w:val="20"/>
                <w:szCs w:val="20"/>
              </w:rPr>
              <w:t>Conforme descrito no detalhamento</w:t>
            </w:r>
          </w:p>
          <w:p w14:paraId="3CD862D6" w14:textId="77777777" w:rsidR="00B05DD3" w:rsidRPr="00EA6617"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2BCF91D0" w14:textId="5AB45A69" w:rsidR="0023791A" w:rsidRDefault="008B0B24" w:rsidP="007C427C">
            <w:pPr>
              <w:pStyle w:val="PargrafodaLista"/>
              <w:tabs>
                <w:tab w:val="left" w:pos="319"/>
              </w:tabs>
              <w:spacing w:after="0" w:line="240" w:lineRule="auto"/>
              <w:ind w:left="0" w:firstLine="0"/>
              <w:rPr>
                <w:color w:val="auto"/>
                <w:sz w:val="24"/>
                <w:szCs w:val="24"/>
              </w:rPr>
            </w:pPr>
            <w:r>
              <w:rPr>
                <w:color w:val="auto"/>
                <w:sz w:val="24"/>
                <w:szCs w:val="24"/>
              </w:rPr>
              <w:t xml:space="preserve">8.1. </w:t>
            </w:r>
            <w:r w:rsidR="0023791A" w:rsidRPr="0023791A">
              <w:rPr>
                <w:color w:val="auto"/>
                <w:sz w:val="24"/>
                <w:szCs w:val="24"/>
              </w:rPr>
              <w:t xml:space="preserve">A entrega dos bens e a execução dos serviços dos itens de 1 a </w:t>
            </w:r>
            <w:r w:rsidR="0023791A">
              <w:rPr>
                <w:color w:val="auto"/>
                <w:sz w:val="24"/>
                <w:szCs w:val="24"/>
              </w:rPr>
              <w:t>12</w:t>
            </w:r>
            <w:r w:rsidR="0023791A" w:rsidRPr="0023791A">
              <w:rPr>
                <w:color w:val="auto"/>
                <w:sz w:val="24"/>
                <w:szCs w:val="24"/>
              </w:rPr>
              <w:t xml:space="preserve"> da tabela 1 pode ser realizada nas seguintes localidades, sem custo extra ao SEBRAE: </w:t>
            </w:r>
          </w:p>
          <w:p w14:paraId="4FF8644F" w14:textId="522A51BC" w:rsidR="0023791A" w:rsidRDefault="0023791A" w:rsidP="0023791A">
            <w:pPr>
              <w:pStyle w:val="PargrafodaLista"/>
              <w:numPr>
                <w:ilvl w:val="0"/>
                <w:numId w:val="58"/>
              </w:numPr>
              <w:tabs>
                <w:tab w:val="left" w:pos="319"/>
              </w:tabs>
              <w:spacing w:after="0" w:line="240" w:lineRule="auto"/>
              <w:rPr>
                <w:color w:val="auto"/>
                <w:sz w:val="24"/>
                <w:szCs w:val="24"/>
              </w:rPr>
            </w:pPr>
            <w:r>
              <w:rPr>
                <w:color w:val="auto"/>
                <w:sz w:val="24"/>
                <w:szCs w:val="24"/>
              </w:rPr>
              <w:t>Av. Campos Sales, 3421 – Olaria – Porto Velho – Rondônia. CEP: 76.801-281.</w:t>
            </w:r>
          </w:p>
          <w:p w14:paraId="06C6349C" w14:textId="1344C2F8" w:rsidR="00E31663" w:rsidRPr="0023791A" w:rsidRDefault="0023791A" w:rsidP="0023791A">
            <w:pPr>
              <w:tabs>
                <w:tab w:val="left" w:pos="319"/>
              </w:tabs>
              <w:spacing w:after="0" w:line="240" w:lineRule="auto"/>
              <w:ind w:left="360" w:firstLine="0"/>
              <w:rPr>
                <w:rStyle w:val="cf01"/>
                <w:rFonts w:ascii="Arial" w:hAnsi="Arial" w:cs="Arial"/>
                <w:i w:val="0"/>
                <w:iCs w:val="0"/>
                <w:color w:val="auto"/>
                <w:sz w:val="24"/>
                <w:szCs w:val="24"/>
              </w:rPr>
            </w:pPr>
            <w:r w:rsidRPr="0023791A">
              <w:rPr>
                <w:color w:val="auto"/>
                <w:sz w:val="24"/>
                <w:szCs w:val="24"/>
              </w:rPr>
              <w:t>Parágrafo único. A execução dos serviços do item 14 da tabela 1 do Edital pode ser realizado de maneira remota rotineiramente ou presencial nas localidades informadas no Anexo I, caso o problema enfrentado exija atuação física nos equipamentos</w:t>
            </w:r>
          </w:p>
          <w:p w14:paraId="723D334C" w14:textId="1D7FE55C" w:rsidR="002775F1" w:rsidRDefault="008B0B24"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r>
              <w:rPr>
                <w:rStyle w:val="cf01"/>
                <w:rFonts w:ascii="Arial" w:hAnsi="Arial" w:cs="Arial"/>
                <w:i w:val="0"/>
                <w:iCs w:val="0"/>
                <w:color w:val="auto"/>
                <w:sz w:val="24"/>
                <w:szCs w:val="24"/>
              </w:rPr>
              <w:t>8</w:t>
            </w:r>
            <w:r>
              <w:rPr>
                <w:rStyle w:val="cf01"/>
                <w:rFonts w:ascii="Arial" w:hAnsi="Arial" w:cs="Arial"/>
              </w:rPr>
              <w:t xml:space="preserve">.2. </w:t>
            </w:r>
            <w:r>
              <w:rPr>
                <w:rStyle w:val="cf01"/>
                <w:rFonts w:ascii="Arial" w:hAnsi="Arial" w:cs="Arial"/>
                <w:i w:val="0"/>
                <w:iCs w:val="0"/>
                <w:color w:val="auto"/>
                <w:sz w:val="24"/>
                <w:szCs w:val="24"/>
              </w:rPr>
              <w:t>O</w:t>
            </w:r>
            <w:r>
              <w:rPr>
                <w:rStyle w:val="cf01"/>
                <w:rFonts w:ascii="Arial" w:hAnsi="Arial" w:cs="Arial"/>
                <w:sz w:val="24"/>
                <w:szCs w:val="24"/>
              </w:rPr>
              <w:t xml:space="preserve"> prazo de entrega conforme item 4- </w:t>
            </w:r>
            <w:r w:rsidRPr="008B0B24">
              <w:rPr>
                <w:color w:val="auto"/>
                <w:sz w:val="24"/>
                <w:szCs w:val="24"/>
              </w:rPr>
              <w:t>Do cronograma de entrega, execução e pagamento,</w:t>
            </w:r>
            <w:r w:rsidRPr="008B0B24">
              <w:rPr>
                <w:color w:val="auto"/>
              </w:rPr>
              <w:t xml:space="preserve"> deste documento.</w:t>
            </w:r>
          </w:p>
          <w:p w14:paraId="4C150B59" w14:textId="642E7589" w:rsidR="008B0B24" w:rsidRPr="00EA6617" w:rsidRDefault="008B0B24"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BA5C9F">
            <w:pPr>
              <w:pStyle w:val="PargrafodaLista"/>
              <w:numPr>
                <w:ilvl w:val="0"/>
                <w:numId w:val="38"/>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585A79E1" w:rsidR="00DF2649" w:rsidRPr="003908B2" w:rsidRDefault="00910333" w:rsidP="007C427C">
            <w:pPr>
              <w:tabs>
                <w:tab w:val="left" w:pos="993"/>
              </w:tabs>
              <w:spacing w:after="0" w:line="240" w:lineRule="auto"/>
              <w:ind w:firstLine="0"/>
              <w:rPr>
                <w:i/>
                <w:iCs/>
                <w:color w:val="FF0000"/>
                <w:kern w:val="2"/>
                <w:sz w:val="20"/>
                <w:szCs w:val="20"/>
                <w:lang w:val="pt-PT"/>
              </w:rPr>
            </w:pPr>
            <w:r w:rsidRPr="003908B2">
              <w:rPr>
                <w:i/>
                <w:iCs/>
                <w:color w:val="FF0000"/>
                <w:sz w:val="20"/>
                <w:szCs w:val="20"/>
                <w:lang w:val="pt-PT"/>
              </w:rPr>
              <w:t>(</w:t>
            </w:r>
            <w:r w:rsidRPr="003908B2">
              <w:rPr>
                <w:i/>
                <w:iCs/>
                <w:color w:val="FF0000"/>
                <w:kern w:val="2"/>
                <w:sz w:val="20"/>
                <w:szCs w:val="20"/>
                <w:lang w:val="pt-PT"/>
              </w:rPr>
              <w:t>Informar quem será o gestor e quem sera o fiscalizador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F36601D"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3908B2">
              <w:rPr>
                <w:bCs/>
                <w:color w:val="FF0000"/>
                <w:kern w:val="2"/>
                <w:sz w:val="24"/>
                <w:szCs w:val="24"/>
              </w:rPr>
              <w:t>fica designado (a) o Sr</w:t>
            </w:r>
            <w:r w:rsidR="009A63FC" w:rsidRPr="003908B2">
              <w:rPr>
                <w:bCs/>
                <w:color w:val="FF0000"/>
                <w:kern w:val="2"/>
                <w:sz w:val="24"/>
                <w:szCs w:val="24"/>
              </w:rPr>
              <w:t>.</w:t>
            </w:r>
            <w:r w:rsidRPr="003908B2">
              <w:rPr>
                <w:bCs/>
                <w:color w:val="FF0000"/>
                <w:kern w:val="2"/>
                <w:sz w:val="24"/>
                <w:szCs w:val="24"/>
              </w:rPr>
              <w:t>(a)</w:t>
            </w:r>
            <w:r w:rsidR="009A63FC" w:rsidRPr="003908B2">
              <w:rPr>
                <w:bCs/>
                <w:color w:val="FF0000"/>
                <w:kern w:val="2"/>
                <w:sz w:val="24"/>
                <w:szCs w:val="24"/>
              </w:rPr>
              <w:t xml:space="preserve"> </w:t>
            </w:r>
            <w:r w:rsidR="000F653C">
              <w:rPr>
                <w:bCs/>
                <w:color w:val="FF0000"/>
                <w:kern w:val="2"/>
                <w:sz w:val="24"/>
                <w:szCs w:val="24"/>
              </w:rPr>
              <w:t>Caroline Cristina Santos</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BA5C9F">
            <w:pPr>
              <w:pStyle w:val="PargrafodaLista"/>
              <w:numPr>
                <w:ilvl w:val="0"/>
                <w:numId w:val="38"/>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lastRenderedPageBreak/>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BA5C9F">
            <w:pPr>
              <w:pStyle w:val="PargrafodaLista"/>
              <w:numPr>
                <w:ilvl w:val="0"/>
                <w:numId w:val="38"/>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006B1">
              <w:rPr>
                <w:bCs/>
                <w:color w:val="FF0000"/>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lastRenderedPageBreak/>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51E72E4A" w:rsidR="00516BF8" w:rsidRPr="00EA6617" w:rsidRDefault="003908B2" w:rsidP="003908B2">
      <w:pPr>
        <w:tabs>
          <w:tab w:val="left" w:pos="993"/>
        </w:tabs>
        <w:spacing w:after="0" w:line="240" w:lineRule="auto"/>
        <w:ind w:firstLine="0"/>
        <w:jc w:val="right"/>
        <w:rPr>
          <w:sz w:val="24"/>
          <w:szCs w:val="24"/>
        </w:rPr>
      </w:pPr>
      <w:r w:rsidRPr="003908B2">
        <w:rPr>
          <w:sz w:val="24"/>
          <w:szCs w:val="24"/>
          <w:highlight w:val="yellow"/>
        </w:rPr>
        <w:t xml:space="preserve">Porto Velho, </w:t>
      </w:r>
      <w:r w:rsidR="004C308A">
        <w:rPr>
          <w:sz w:val="24"/>
          <w:szCs w:val="24"/>
          <w:highlight w:val="yellow"/>
        </w:rPr>
        <w:t>22</w:t>
      </w:r>
      <w:r w:rsidRPr="003908B2">
        <w:rPr>
          <w:sz w:val="24"/>
          <w:szCs w:val="24"/>
          <w:highlight w:val="yellow"/>
        </w:rPr>
        <w:t xml:space="preserve"> de </w:t>
      </w:r>
      <w:r w:rsidR="004C308A">
        <w:rPr>
          <w:sz w:val="24"/>
          <w:szCs w:val="24"/>
          <w:highlight w:val="yellow"/>
        </w:rPr>
        <w:t xml:space="preserve">outubro </w:t>
      </w:r>
      <w:r w:rsidRPr="003908B2">
        <w:rPr>
          <w:sz w:val="24"/>
          <w:szCs w:val="24"/>
          <w:highlight w:val="yellow"/>
        </w:rPr>
        <w:t>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5B552" w14:textId="77777777" w:rsidR="0086267A" w:rsidRDefault="0086267A" w:rsidP="00B316AB">
      <w:r>
        <w:separator/>
      </w:r>
    </w:p>
  </w:endnote>
  <w:endnote w:type="continuationSeparator" w:id="0">
    <w:p w14:paraId="68BA3B2E" w14:textId="77777777" w:rsidR="0086267A" w:rsidRDefault="0086267A"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579637974" name="Imagem 579637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7FE41" w14:textId="77777777" w:rsidR="0086267A" w:rsidRDefault="0086267A" w:rsidP="00B316AB">
      <w:r>
        <w:separator/>
      </w:r>
    </w:p>
  </w:footnote>
  <w:footnote w:type="continuationSeparator" w:id="0">
    <w:p w14:paraId="0DAF4D1C" w14:textId="77777777" w:rsidR="0086267A" w:rsidRDefault="0086267A"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555946195" name="Imagem 555946195"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951588"/>
    <w:multiLevelType w:val="hybridMultilevel"/>
    <w:tmpl w:val="29AE619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7D62CB6"/>
    <w:multiLevelType w:val="multilevel"/>
    <w:tmpl w:val="B0D2FE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1E710EB9"/>
    <w:multiLevelType w:val="multilevel"/>
    <w:tmpl w:val="F000F92C"/>
    <w:lvl w:ilvl="0">
      <w:start w:val="12"/>
      <w:numFmt w:val="decimal"/>
      <w:lvlText w:val="%1."/>
      <w:lvlJc w:val="left"/>
      <w:pPr>
        <w:ind w:left="530" w:hanging="530"/>
      </w:pPr>
    </w:lvl>
    <w:lvl w:ilvl="1">
      <w:start w:val="9"/>
      <w:numFmt w:val="decimal"/>
      <w:lvlText w:val="%1.%2."/>
      <w:lvlJc w:val="left"/>
      <w:pPr>
        <w:ind w:left="2610" w:hanging="720"/>
      </w:pPr>
    </w:lvl>
    <w:lvl w:ilvl="2">
      <w:start w:val="1"/>
      <w:numFmt w:val="decimal"/>
      <w:lvlText w:val="%1.%2.%3."/>
      <w:lvlJc w:val="left"/>
      <w:pPr>
        <w:ind w:left="4500" w:hanging="720"/>
      </w:pPr>
    </w:lvl>
    <w:lvl w:ilvl="3">
      <w:start w:val="1"/>
      <w:numFmt w:val="decimal"/>
      <w:lvlText w:val="%1.%2.%3.%4."/>
      <w:lvlJc w:val="left"/>
      <w:pPr>
        <w:ind w:left="6750" w:hanging="1080"/>
      </w:pPr>
    </w:lvl>
    <w:lvl w:ilvl="4">
      <w:start w:val="1"/>
      <w:numFmt w:val="decimal"/>
      <w:lvlText w:val="%1.%2.%3.%4.%5."/>
      <w:lvlJc w:val="left"/>
      <w:pPr>
        <w:ind w:left="8640" w:hanging="1080"/>
      </w:pPr>
    </w:lvl>
    <w:lvl w:ilvl="5">
      <w:start w:val="1"/>
      <w:numFmt w:val="decimal"/>
      <w:lvlText w:val="%1.%2.%3.%4.%5.%6."/>
      <w:lvlJc w:val="left"/>
      <w:pPr>
        <w:ind w:left="10890" w:hanging="1440"/>
      </w:pPr>
    </w:lvl>
    <w:lvl w:ilvl="6">
      <w:start w:val="1"/>
      <w:numFmt w:val="decimal"/>
      <w:lvlText w:val="%1.%2.%3.%4.%5.%6.%7."/>
      <w:lvlJc w:val="left"/>
      <w:pPr>
        <w:ind w:left="12780" w:hanging="1440"/>
      </w:pPr>
    </w:lvl>
    <w:lvl w:ilvl="7">
      <w:start w:val="1"/>
      <w:numFmt w:val="decimal"/>
      <w:lvlText w:val="%1.%2.%3.%4.%5.%6.%7.%8."/>
      <w:lvlJc w:val="left"/>
      <w:pPr>
        <w:ind w:left="15030" w:hanging="1800"/>
      </w:pPr>
    </w:lvl>
    <w:lvl w:ilvl="8">
      <w:start w:val="1"/>
      <w:numFmt w:val="decimal"/>
      <w:lvlText w:val="%1.%2.%3.%4.%5.%6.%7.%8.%9."/>
      <w:lvlJc w:val="left"/>
      <w:pPr>
        <w:ind w:left="17280" w:hanging="2160"/>
      </w:pPr>
    </w:lvl>
  </w:abstractNum>
  <w:abstractNum w:abstractNumId="7" w15:restartNumberingAfterBreak="0">
    <w:nsid w:val="1EF95DAD"/>
    <w:multiLevelType w:val="multilevel"/>
    <w:tmpl w:val="B0D2FE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72083E"/>
    <w:multiLevelType w:val="multilevel"/>
    <w:tmpl w:val="E6DC2B4A"/>
    <w:lvl w:ilvl="0">
      <w:start w:val="8"/>
      <w:numFmt w:val="decimal"/>
      <w:lvlText w:val="%1."/>
      <w:lvlJc w:val="left"/>
      <w:pPr>
        <w:ind w:left="600" w:hanging="600"/>
      </w:pPr>
      <w:rPr>
        <w:rFonts w:hint="default"/>
      </w:rPr>
    </w:lvl>
    <w:lvl w:ilvl="1">
      <w:start w:val="3"/>
      <w:numFmt w:val="decimal"/>
      <w:lvlText w:val="%1.%2."/>
      <w:lvlJc w:val="left"/>
      <w:pPr>
        <w:ind w:left="1665" w:hanging="72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915" w:hanging="108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6165" w:hanging="144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8415" w:hanging="1800"/>
      </w:pPr>
      <w:rPr>
        <w:rFonts w:hint="default"/>
      </w:rPr>
    </w:lvl>
    <w:lvl w:ilvl="8">
      <w:start w:val="1"/>
      <w:numFmt w:val="decimal"/>
      <w:lvlText w:val="%1.%2.%3.%4.%5.%6.%7.%8.%9."/>
      <w:lvlJc w:val="left"/>
      <w:pPr>
        <w:ind w:left="9720" w:hanging="2160"/>
      </w:pPr>
      <w:rPr>
        <w:rFonts w:hint="default"/>
      </w:rPr>
    </w:lvl>
  </w:abstractNum>
  <w:abstractNum w:abstractNumId="13"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344326E9"/>
    <w:multiLevelType w:val="multilevel"/>
    <w:tmpl w:val="E760102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5E5BCF"/>
    <w:multiLevelType w:val="multilevel"/>
    <w:tmpl w:val="CE4CBFA4"/>
    <w:lvl w:ilvl="0">
      <w:start w:val="7"/>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15:restartNumberingAfterBreak="0">
    <w:nsid w:val="3A050D2C"/>
    <w:multiLevelType w:val="multilevel"/>
    <w:tmpl w:val="EB84CA52"/>
    <w:lvl w:ilvl="0">
      <w:start w:val="5"/>
      <w:numFmt w:val="decimal"/>
      <w:lvlText w:val="%1."/>
      <w:lvlJc w:val="left"/>
      <w:pPr>
        <w:ind w:left="612" w:hanging="61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2" w15:restartNumberingAfterBreak="0">
    <w:nsid w:val="3F7B02A6"/>
    <w:multiLevelType w:val="hybridMultilevel"/>
    <w:tmpl w:val="65FCEE2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4"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5"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4DB728F8"/>
    <w:multiLevelType w:val="multilevel"/>
    <w:tmpl w:val="BECAF77C"/>
    <w:lvl w:ilvl="0">
      <w:start w:val="9"/>
      <w:numFmt w:val="decimal"/>
      <w:lvlText w:val="%1."/>
      <w:lvlJc w:val="left"/>
      <w:pPr>
        <w:ind w:left="400" w:hanging="400"/>
      </w:pPr>
      <w:rPr>
        <w:rFonts w:hint="default"/>
      </w:rPr>
    </w:lvl>
    <w:lvl w:ilvl="1">
      <w:start w:val="1"/>
      <w:numFmt w:val="decimal"/>
      <w:lvlText w:val="%1.%2."/>
      <w:lvlJc w:val="left"/>
      <w:pPr>
        <w:ind w:left="1250" w:hanging="72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670" w:hanging="108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510" w:hanging="1800"/>
      </w:pPr>
      <w:rPr>
        <w:rFonts w:hint="default"/>
      </w:rPr>
    </w:lvl>
    <w:lvl w:ilvl="8">
      <w:start w:val="1"/>
      <w:numFmt w:val="decimal"/>
      <w:lvlText w:val="%1.%2.%3.%4.%5.%6.%7.%8.%9."/>
      <w:lvlJc w:val="left"/>
      <w:pPr>
        <w:ind w:left="6400" w:hanging="2160"/>
      </w:pPr>
      <w:rPr>
        <w:rFonts w:hint="default"/>
      </w:rPr>
    </w:lvl>
  </w:abstractNum>
  <w:abstractNum w:abstractNumId="2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53E420DC"/>
    <w:multiLevelType w:val="multilevel"/>
    <w:tmpl w:val="80B4F7B0"/>
    <w:lvl w:ilvl="0">
      <w:start w:val="9"/>
      <w:numFmt w:val="decimal"/>
      <w:lvlText w:val="%1."/>
      <w:lvlJc w:val="left"/>
      <w:pPr>
        <w:ind w:left="400" w:hanging="400"/>
      </w:pPr>
      <w:rPr>
        <w:rFonts w:hint="default"/>
      </w:rPr>
    </w:lvl>
    <w:lvl w:ilvl="1">
      <w:start w:val="1"/>
      <w:numFmt w:val="decimal"/>
      <w:lvlText w:val="%1.%2."/>
      <w:lvlJc w:val="left"/>
      <w:pPr>
        <w:ind w:left="2610" w:hanging="72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6750" w:hanging="1080"/>
      </w:pPr>
      <w:rPr>
        <w:rFonts w:hint="default"/>
      </w:rPr>
    </w:lvl>
    <w:lvl w:ilvl="4">
      <w:start w:val="1"/>
      <w:numFmt w:val="decimal"/>
      <w:lvlText w:val="%1.%2.%3.%4.%5."/>
      <w:lvlJc w:val="left"/>
      <w:pPr>
        <w:ind w:left="8640" w:hanging="1080"/>
      </w:pPr>
      <w:rPr>
        <w:rFonts w:hint="default"/>
      </w:rPr>
    </w:lvl>
    <w:lvl w:ilvl="5">
      <w:start w:val="1"/>
      <w:numFmt w:val="decimal"/>
      <w:lvlText w:val="%1.%2.%3.%4.%5.%6."/>
      <w:lvlJc w:val="left"/>
      <w:pPr>
        <w:ind w:left="10890" w:hanging="1440"/>
      </w:pPr>
      <w:rPr>
        <w:rFonts w:hint="default"/>
      </w:rPr>
    </w:lvl>
    <w:lvl w:ilvl="6">
      <w:start w:val="1"/>
      <w:numFmt w:val="decimal"/>
      <w:lvlText w:val="%1.%2.%3.%4.%5.%6.%7."/>
      <w:lvlJc w:val="left"/>
      <w:pPr>
        <w:ind w:left="12780" w:hanging="1440"/>
      </w:pPr>
      <w:rPr>
        <w:rFonts w:hint="default"/>
      </w:rPr>
    </w:lvl>
    <w:lvl w:ilvl="7">
      <w:start w:val="1"/>
      <w:numFmt w:val="decimal"/>
      <w:lvlText w:val="%1.%2.%3.%4.%5.%6.%7.%8."/>
      <w:lvlJc w:val="left"/>
      <w:pPr>
        <w:ind w:left="15030" w:hanging="1800"/>
      </w:pPr>
      <w:rPr>
        <w:rFonts w:hint="default"/>
      </w:rPr>
    </w:lvl>
    <w:lvl w:ilvl="8">
      <w:start w:val="1"/>
      <w:numFmt w:val="decimal"/>
      <w:lvlText w:val="%1.%2.%3.%4.%5.%6.%7.%8.%9."/>
      <w:lvlJc w:val="left"/>
      <w:pPr>
        <w:ind w:left="17280" w:hanging="2160"/>
      </w:pPr>
      <w:rPr>
        <w:rFonts w:hint="default"/>
      </w:rPr>
    </w:lvl>
  </w:abstractNum>
  <w:abstractNum w:abstractNumId="3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31"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8347E5C"/>
    <w:multiLevelType w:val="hybridMultilevel"/>
    <w:tmpl w:val="E87430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4" w15:restartNumberingAfterBreak="0">
    <w:nsid w:val="5BDE2A29"/>
    <w:multiLevelType w:val="multilevel"/>
    <w:tmpl w:val="371EC202"/>
    <w:lvl w:ilvl="0">
      <w:start w:val="12"/>
      <w:numFmt w:val="decimal"/>
      <w:lvlText w:val="%1."/>
      <w:lvlJc w:val="left"/>
      <w:pPr>
        <w:ind w:left="730" w:hanging="730"/>
      </w:pPr>
    </w:lvl>
    <w:lvl w:ilvl="1">
      <w:start w:val="3"/>
      <w:numFmt w:val="decimal"/>
      <w:lvlText w:val="%1.%2."/>
      <w:lvlJc w:val="left"/>
      <w:pPr>
        <w:ind w:left="1675" w:hanging="730"/>
      </w:pPr>
    </w:lvl>
    <w:lvl w:ilvl="2">
      <w:start w:val="1"/>
      <w:numFmt w:val="decimal"/>
      <w:lvlText w:val="%1.%2.%3."/>
      <w:lvlJc w:val="left"/>
      <w:pPr>
        <w:ind w:left="2620" w:hanging="730"/>
      </w:pPr>
    </w:lvl>
    <w:lvl w:ilvl="3">
      <w:start w:val="1"/>
      <w:numFmt w:val="decimal"/>
      <w:lvlText w:val="%1.%2.%3.%4."/>
      <w:lvlJc w:val="left"/>
      <w:pPr>
        <w:ind w:left="3915" w:hanging="1080"/>
      </w:pPr>
    </w:lvl>
    <w:lvl w:ilvl="4">
      <w:start w:val="1"/>
      <w:numFmt w:val="decimal"/>
      <w:lvlText w:val="%1.%2.%3.%4.%5."/>
      <w:lvlJc w:val="left"/>
      <w:pPr>
        <w:ind w:left="4860" w:hanging="1080"/>
      </w:pPr>
    </w:lvl>
    <w:lvl w:ilvl="5">
      <w:start w:val="1"/>
      <w:numFmt w:val="decimal"/>
      <w:lvlText w:val="%1.%2.%3.%4.%5.%6."/>
      <w:lvlJc w:val="left"/>
      <w:pPr>
        <w:ind w:left="6165" w:hanging="1440"/>
      </w:pPr>
    </w:lvl>
    <w:lvl w:ilvl="6">
      <w:start w:val="1"/>
      <w:numFmt w:val="decimal"/>
      <w:lvlText w:val="%1.%2.%3.%4.%5.%6.%7."/>
      <w:lvlJc w:val="left"/>
      <w:pPr>
        <w:ind w:left="7110" w:hanging="1440"/>
      </w:pPr>
    </w:lvl>
    <w:lvl w:ilvl="7">
      <w:start w:val="1"/>
      <w:numFmt w:val="decimal"/>
      <w:lvlText w:val="%1.%2.%3.%4.%5.%6.%7.%8."/>
      <w:lvlJc w:val="left"/>
      <w:pPr>
        <w:ind w:left="8415" w:hanging="1800"/>
      </w:pPr>
    </w:lvl>
    <w:lvl w:ilvl="8">
      <w:start w:val="1"/>
      <w:numFmt w:val="decimal"/>
      <w:lvlText w:val="%1.%2.%3.%4.%5.%6.%7.%8.%9."/>
      <w:lvlJc w:val="left"/>
      <w:pPr>
        <w:ind w:left="9720" w:hanging="2160"/>
      </w:pPr>
    </w:lvl>
  </w:abstractNum>
  <w:abstractNum w:abstractNumId="35" w15:restartNumberingAfterBreak="0">
    <w:nsid w:val="66AA4553"/>
    <w:multiLevelType w:val="multilevel"/>
    <w:tmpl w:val="6AF4700C"/>
    <w:lvl w:ilvl="0">
      <w:start w:val="10"/>
      <w:numFmt w:val="decimal"/>
      <w:lvlText w:val="%1"/>
      <w:lvlJc w:val="left"/>
      <w:pPr>
        <w:ind w:left="460" w:hanging="460"/>
      </w:pPr>
      <w:rPr>
        <w:rFonts w:hint="default"/>
      </w:rPr>
    </w:lvl>
    <w:lvl w:ilvl="1">
      <w:start w:val="1"/>
      <w:numFmt w:val="decimal"/>
      <w:lvlText w:val="%1.%2"/>
      <w:lvlJc w:val="left"/>
      <w:pPr>
        <w:ind w:left="2350" w:hanging="4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6750" w:hanging="1080"/>
      </w:pPr>
      <w:rPr>
        <w:rFonts w:hint="default"/>
      </w:rPr>
    </w:lvl>
    <w:lvl w:ilvl="4">
      <w:start w:val="1"/>
      <w:numFmt w:val="decimal"/>
      <w:lvlText w:val="%1.%2.%3.%4.%5"/>
      <w:lvlJc w:val="left"/>
      <w:pPr>
        <w:ind w:left="8640" w:hanging="1080"/>
      </w:pPr>
      <w:rPr>
        <w:rFonts w:hint="default"/>
      </w:rPr>
    </w:lvl>
    <w:lvl w:ilvl="5">
      <w:start w:val="1"/>
      <w:numFmt w:val="decimal"/>
      <w:lvlText w:val="%1.%2.%3.%4.%5.%6"/>
      <w:lvlJc w:val="left"/>
      <w:pPr>
        <w:ind w:left="10890" w:hanging="1440"/>
      </w:pPr>
      <w:rPr>
        <w:rFonts w:hint="default"/>
      </w:rPr>
    </w:lvl>
    <w:lvl w:ilvl="6">
      <w:start w:val="1"/>
      <w:numFmt w:val="decimal"/>
      <w:lvlText w:val="%1.%2.%3.%4.%5.%6.%7"/>
      <w:lvlJc w:val="left"/>
      <w:pPr>
        <w:ind w:left="12780" w:hanging="1440"/>
      </w:pPr>
      <w:rPr>
        <w:rFonts w:hint="default"/>
      </w:rPr>
    </w:lvl>
    <w:lvl w:ilvl="7">
      <w:start w:val="1"/>
      <w:numFmt w:val="decimal"/>
      <w:lvlText w:val="%1.%2.%3.%4.%5.%6.%7.%8"/>
      <w:lvlJc w:val="left"/>
      <w:pPr>
        <w:ind w:left="15030" w:hanging="1800"/>
      </w:pPr>
      <w:rPr>
        <w:rFonts w:hint="default"/>
      </w:rPr>
    </w:lvl>
    <w:lvl w:ilvl="8">
      <w:start w:val="1"/>
      <w:numFmt w:val="decimal"/>
      <w:lvlText w:val="%1.%2.%3.%4.%5.%6.%7.%8.%9"/>
      <w:lvlJc w:val="left"/>
      <w:pPr>
        <w:ind w:left="16920" w:hanging="1800"/>
      </w:pPr>
      <w:rPr>
        <w:rFonts w:hint="default"/>
      </w:rPr>
    </w:lvl>
  </w:abstractNum>
  <w:abstractNum w:abstractNumId="36"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C0E1555"/>
    <w:multiLevelType w:val="multilevel"/>
    <w:tmpl w:val="2DD2213C"/>
    <w:lvl w:ilvl="0">
      <w:start w:val="1"/>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6C110E37"/>
    <w:multiLevelType w:val="multilevel"/>
    <w:tmpl w:val="1398FDAA"/>
    <w:lvl w:ilvl="0">
      <w:start w:val="12"/>
      <w:numFmt w:val="decimal"/>
      <w:lvlText w:val="%1."/>
      <w:lvlJc w:val="left"/>
      <w:pPr>
        <w:ind w:left="930" w:hanging="930"/>
      </w:pPr>
    </w:lvl>
    <w:lvl w:ilvl="1">
      <w:start w:val="2"/>
      <w:numFmt w:val="decimal"/>
      <w:lvlText w:val="%1.%2."/>
      <w:lvlJc w:val="left"/>
      <w:pPr>
        <w:ind w:left="1890" w:hanging="930"/>
      </w:pPr>
    </w:lvl>
    <w:lvl w:ilvl="2">
      <w:start w:val="8"/>
      <w:numFmt w:val="decimal"/>
      <w:lvlText w:val="%1.%2.%3."/>
      <w:lvlJc w:val="left"/>
      <w:pPr>
        <w:ind w:left="2850" w:hanging="930"/>
      </w:pPr>
    </w:lvl>
    <w:lvl w:ilvl="3">
      <w:start w:val="1"/>
      <w:numFmt w:val="decimal"/>
      <w:lvlText w:val="%1.%2.%3.%4."/>
      <w:lvlJc w:val="left"/>
      <w:pPr>
        <w:ind w:left="3960" w:hanging="1080"/>
      </w:pPr>
    </w:lvl>
    <w:lvl w:ilvl="4">
      <w:start w:val="1"/>
      <w:numFmt w:val="decimal"/>
      <w:lvlText w:val="%1.%2.%3.%4.%5."/>
      <w:lvlJc w:val="left"/>
      <w:pPr>
        <w:ind w:left="4920" w:hanging="1080"/>
      </w:pPr>
    </w:lvl>
    <w:lvl w:ilvl="5">
      <w:start w:val="1"/>
      <w:numFmt w:val="decimal"/>
      <w:lvlText w:val="%1.%2.%3.%4.%5.%6."/>
      <w:lvlJc w:val="left"/>
      <w:pPr>
        <w:ind w:left="6240" w:hanging="1440"/>
      </w:pPr>
    </w:lvl>
    <w:lvl w:ilvl="6">
      <w:start w:val="1"/>
      <w:numFmt w:val="decimal"/>
      <w:lvlText w:val="%1.%2.%3.%4.%5.%6.%7."/>
      <w:lvlJc w:val="left"/>
      <w:pPr>
        <w:ind w:left="7200" w:hanging="1440"/>
      </w:pPr>
    </w:lvl>
    <w:lvl w:ilvl="7">
      <w:start w:val="1"/>
      <w:numFmt w:val="decimal"/>
      <w:lvlText w:val="%1.%2.%3.%4.%5.%6.%7.%8."/>
      <w:lvlJc w:val="left"/>
      <w:pPr>
        <w:ind w:left="8520" w:hanging="1800"/>
      </w:pPr>
    </w:lvl>
    <w:lvl w:ilvl="8">
      <w:start w:val="1"/>
      <w:numFmt w:val="decimal"/>
      <w:lvlText w:val="%1.%2.%3.%4.%5.%6.%7.%8.%9."/>
      <w:lvlJc w:val="left"/>
      <w:pPr>
        <w:ind w:left="9840" w:hanging="2160"/>
      </w:pPr>
    </w:lvl>
  </w:abstractNum>
  <w:abstractNum w:abstractNumId="43"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6FDE78A9"/>
    <w:multiLevelType w:val="hybridMultilevel"/>
    <w:tmpl w:val="5CF474D0"/>
    <w:lvl w:ilvl="0" w:tplc="B5C0F95A">
      <w:start w:val="1"/>
      <w:numFmt w:val="lowerRoman"/>
      <w:lvlText w:val="%1)"/>
      <w:lvlJc w:val="left"/>
      <w:pPr>
        <w:ind w:left="135" w:hanging="708"/>
      </w:pPr>
      <w:rPr>
        <w:rFonts w:ascii="Arial" w:eastAsia="Arial" w:hAnsi="Arial" w:cs="Arial" w:hint="default"/>
        <w:b w:val="0"/>
        <w:bCs w:val="0"/>
        <w:i w:val="0"/>
        <w:iCs w:val="0"/>
        <w:spacing w:val="-2"/>
        <w:w w:val="100"/>
        <w:sz w:val="22"/>
        <w:szCs w:val="22"/>
        <w:lang w:val="pt-PT" w:eastAsia="en-US" w:bidi="ar-SA"/>
      </w:rPr>
    </w:lvl>
    <w:lvl w:ilvl="1" w:tplc="9154BD34">
      <w:numFmt w:val="bullet"/>
      <w:lvlText w:val="•"/>
      <w:lvlJc w:val="left"/>
      <w:pPr>
        <w:ind w:left="1118" w:hanging="708"/>
      </w:pPr>
      <w:rPr>
        <w:lang w:val="pt-PT" w:eastAsia="en-US" w:bidi="ar-SA"/>
      </w:rPr>
    </w:lvl>
    <w:lvl w:ilvl="2" w:tplc="2E26C870">
      <w:numFmt w:val="bullet"/>
      <w:lvlText w:val="•"/>
      <w:lvlJc w:val="left"/>
      <w:pPr>
        <w:ind w:left="2096" w:hanging="708"/>
      </w:pPr>
      <w:rPr>
        <w:lang w:val="pt-PT" w:eastAsia="en-US" w:bidi="ar-SA"/>
      </w:rPr>
    </w:lvl>
    <w:lvl w:ilvl="3" w:tplc="E78EBC1A">
      <w:numFmt w:val="bullet"/>
      <w:lvlText w:val="•"/>
      <w:lvlJc w:val="left"/>
      <w:pPr>
        <w:ind w:left="3075" w:hanging="708"/>
      </w:pPr>
      <w:rPr>
        <w:lang w:val="pt-PT" w:eastAsia="en-US" w:bidi="ar-SA"/>
      </w:rPr>
    </w:lvl>
    <w:lvl w:ilvl="4" w:tplc="BCB627C0">
      <w:numFmt w:val="bullet"/>
      <w:lvlText w:val="•"/>
      <w:lvlJc w:val="left"/>
      <w:pPr>
        <w:ind w:left="4053" w:hanging="708"/>
      </w:pPr>
      <w:rPr>
        <w:lang w:val="pt-PT" w:eastAsia="en-US" w:bidi="ar-SA"/>
      </w:rPr>
    </w:lvl>
    <w:lvl w:ilvl="5" w:tplc="6B0ACCFA">
      <w:numFmt w:val="bullet"/>
      <w:lvlText w:val="•"/>
      <w:lvlJc w:val="left"/>
      <w:pPr>
        <w:ind w:left="5032" w:hanging="708"/>
      </w:pPr>
      <w:rPr>
        <w:lang w:val="pt-PT" w:eastAsia="en-US" w:bidi="ar-SA"/>
      </w:rPr>
    </w:lvl>
    <w:lvl w:ilvl="6" w:tplc="1E1EA50C">
      <w:numFmt w:val="bullet"/>
      <w:lvlText w:val="•"/>
      <w:lvlJc w:val="left"/>
      <w:pPr>
        <w:ind w:left="6010" w:hanging="708"/>
      </w:pPr>
      <w:rPr>
        <w:lang w:val="pt-PT" w:eastAsia="en-US" w:bidi="ar-SA"/>
      </w:rPr>
    </w:lvl>
    <w:lvl w:ilvl="7" w:tplc="5F76C25C">
      <w:numFmt w:val="bullet"/>
      <w:lvlText w:val="•"/>
      <w:lvlJc w:val="left"/>
      <w:pPr>
        <w:ind w:left="6988" w:hanging="708"/>
      </w:pPr>
      <w:rPr>
        <w:lang w:val="pt-PT" w:eastAsia="en-US" w:bidi="ar-SA"/>
      </w:rPr>
    </w:lvl>
    <w:lvl w:ilvl="8" w:tplc="D34A5040">
      <w:numFmt w:val="bullet"/>
      <w:lvlText w:val="•"/>
      <w:lvlJc w:val="left"/>
      <w:pPr>
        <w:ind w:left="7967" w:hanging="708"/>
      </w:pPr>
      <w:rPr>
        <w:lang w:val="pt-PT" w:eastAsia="en-US" w:bidi="ar-SA"/>
      </w:rPr>
    </w:lvl>
  </w:abstractNum>
  <w:abstractNum w:abstractNumId="4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8"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0" w15:restartNumberingAfterBreak="0">
    <w:nsid w:val="73A71006"/>
    <w:multiLevelType w:val="multilevel"/>
    <w:tmpl w:val="EA28A3EC"/>
    <w:lvl w:ilvl="0">
      <w:start w:val="13"/>
      <w:numFmt w:val="decimal"/>
      <w:lvlText w:val="%1."/>
      <w:lvlJc w:val="left"/>
      <w:pPr>
        <w:ind w:left="530" w:hanging="530"/>
      </w:pPr>
    </w:lvl>
    <w:lvl w:ilvl="1">
      <w:start w:val="1"/>
      <w:numFmt w:val="decimal"/>
      <w:lvlText w:val="%1.%2."/>
      <w:lvlJc w:val="left"/>
      <w:pPr>
        <w:ind w:left="1250" w:hanging="720"/>
      </w:pPr>
    </w:lvl>
    <w:lvl w:ilvl="2">
      <w:start w:val="1"/>
      <w:numFmt w:val="decimal"/>
      <w:lvlText w:val="%1.%2.%3."/>
      <w:lvlJc w:val="left"/>
      <w:pPr>
        <w:ind w:left="1780" w:hanging="720"/>
      </w:pPr>
    </w:lvl>
    <w:lvl w:ilvl="3">
      <w:start w:val="1"/>
      <w:numFmt w:val="decimal"/>
      <w:lvlText w:val="%1.%2.%3.%4."/>
      <w:lvlJc w:val="left"/>
      <w:pPr>
        <w:ind w:left="2670" w:hanging="1080"/>
      </w:pPr>
    </w:lvl>
    <w:lvl w:ilvl="4">
      <w:start w:val="1"/>
      <w:numFmt w:val="decimal"/>
      <w:lvlText w:val="%1.%2.%3.%4.%5."/>
      <w:lvlJc w:val="left"/>
      <w:pPr>
        <w:ind w:left="3200" w:hanging="1080"/>
      </w:pPr>
    </w:lvl>
    <w:lvl w:ilvl="5">
      <w:start w:val="1"/>
      <w:numFmt w:val="decimal"/>
      <w:lvlText w:val="%1.%2.%3.%4.%5.%6."/>
      <w:lvlJc w:val="left"/>
      <w:pPr>
        <w:ind w:left="4090" w:hanging="1440"/>
      </w:pPr>
    </w:lvl>
    <w:lvl w:ilvl="6">
      <w:start w:val="1"/>
      <w:numFmt w:val="decimal"/>
      <w:lvlText w:val="%1.%2.%3.%4.%5.%6.%7."/>
      <w:lvlJc w:val="left"/>
      <w:pPr>
        <w:ind w:left="4620" w:hanging="1440"/>
      </w:pPr>
    </w:lvl>
    <w:lvl w:ilvl="7">
      <w:start w:val="1"/>
      <w:numFmt w:val="decimal"/>
      <w:lvlText w:val="%1.%2.%3.%4.%5.%6.%7.%8."/>
      <w:lvlJc w:val="left"/>
      <w:pPr>
        <w:ind w:left="5510" w:hanging="1800"/>
      </w:pPr>
    </w:lvl>
    <w:lvl w:ilvl="8">
      <w:start w:val="1"/>
      <w:numFmt w:val="decimal"/>
      <w:lvlText w:val="%1.%2.%3.%4.%5.%6.%7.%8.%9."/>
      <w:lvlJc w:val="left"/>
      <w:pPr>
        <w:ind w:left="6400" w:hanging="2160"/>
      </w:pPr>
    </w:lvl>
  </w:abstractNum>
  <w:abstractNum w:abstractNumId="51" w15:restartNumberingAfterBreak="0">
    <w:nsid w:val="73EA2C2F"/>
    <w:multiLevelType w:val="multilevel"/>
    <w:tmpl w:val="8DDCBD7A"/>
    <w:lvl w:ilvl="0">
      <w:start w:val="12"/>
      <w:numFmt w:val="decimal"/>
      <w:lvlText w:val="%1."/>
      <w:lvlJc w:val="left"/>
      <w:pPr>
        <w:ind w:left="1060" w:hanging="1060"/>
      </w:pPr>
    </w:lvl>
    <w:lvl w:ilvl="1">
      <w:start w:val="2"/>
      <w:numFmt w:val="decimal"/>
      <w:lvlText w:val="%1.%2."/>
      <w:lvlJc w:val="left"/>
      <w:pPr>
        <w:ind w:left="2500" w:hanging="1060"/>
      </w:pPr>
    </w:lvl>
    <w:lvl w:ilvl="2">
      <w:start w:val="7"/>
      <w:numFmt w:val="decimal"/>
      <w:lvlText w:val="%1.%2.%3."/>
      <w:lvlJc w:val="left"/>
      <w:pPr>
        <w:ind w:left="3940" w:hanging="1060"/>
      </w:pPr>
    </w:lvl>
    <w:lvl w:ilvl="3">
      <w:start w:val="18"/>
      <w:numFmt w:val="decimal"/>
      <w:lvlText w:val="%1.%2.%3.%4."/>
      <w:lvlJc w:val="left"/>
      <w:pPr>
        <w:ind w:left="5400" w:hanging="1080"/>
      </w:pPr>
    </w:lvl>
    <w:lvl w:ilvl="4">
      <w:start w:val="1"/>
      <w:numFmt w:val="decimal"/>
      <w:lvlText w:val="%1.%2.%3.%4.%5."/>
      <w:lvlJc w:val="left"/>
      <w:pPr>
        <w:ind w:left="6840" w:hanging="1080"/>
      </w:pPr>
    </w:lvl>
    <w:lvl w:ilvl="5">
      <w:start w:val="1"/>
      <w:numFmt w:val="decimal"/>
      <w:lvlText w:val="%1.%2.%3.%4.%5.%6."/>
      <w:lvlJc w:val="left"/>
      <w:pPr>
        <w:ind w:left="8640" w:hanging="1440"/>
      </w:pPr>
    </w:lvl>
    <w:lvl w:ilvl="6">
      <w:start w:val="1"/>
      <w:numFmt w:val="decimal"/>
      <w:lvlText w:val="%1.%2.%3.%4.%5.%6.%7."/>
      <w:lvlJc w:val="left"/>
      <w:pPr>
        <w:ind w:left="10080" w:hanging="1440"/>
      </w:pPr>
    </w:lvl>
    <w:lvl w:ilvl="7">
      <w:start w:val="1"/>
      <w:numFmt w:val="decimal"/>
      <w:lvlText w:val="%1.%2.%3.%4.%5.%6.%7.%8."/>
      <w:lvlJc w:val="left"/>
      <w:pPr>
        <w:ind w:left="11880" w:hanging="1800"/>
      </w:pPr>
    </w:lvl>
    <w:lvl w:ilvl="8">
      <w:start w:val="1"/>
      <w:numFmt w:val="decimal"/>
      <w:lvlText w:val="%1.%2.%3.%4.%5.%6.%7.%8.%9."/>
      <w:lvlJc w:val="left"/>
      <w:pPr>
        <w:ind w:left="13680" w:hanging="2160"/>
      </w:pPr>
    </w:lvl>
  </w:abstractNum>
  <w:abstractNum w:abstractNumId="52" w15:restartNumberingAfterBreak="0">
    <w:nsid w:val="766F4E85"/>
    <w:multiLevelType w:val="hybridMultilevel"/>
    <w:tmpl w:val="F4D077BE"/>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4" w15:restartNumberingAfterBreak="0">
    <w:nsid w:val="7B0003D9"/>
    <w:multiLevelType w:val="multilevel"/>
    <w:tmpl w:val="7A7E99DA"/>
    <w:lvl w:ilvl="0">
      <w:start w:val="8"/>
      <w:numFmt w:val="decimal"/>
      <w:lvlText w:val="%1."/>
      <w:lvlJc w:val="left"/>
      <w:pPr>
        <w:ind w:left="600" w:hanging="600"/>
      </w:pPr>
      <w:rPr>
        <w:rFonts w:hint="default"/>
      </w:rPr>
    </w:lvl>
    <w:lvl w:ilvl="1">
      <w:start w:val="2"/>
      <w:numFmt w:val="decimal"/>
      <w:lvlText w:val="%1.%2."/>
      <w:lvlJc w:val="left"/>
      <w:pPr>
        <w:ind w:left="2160" w:hanging="720"/>
      </w:pPr>
      <w:rPr>
        <w:rFonts w:hint="default"/>
      </w:rPr>
    </w:lvl>
    <w:lvl w:ilvl="2">
      <w:start w:val="8"/>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5"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56" w15:restartNumberingAfterBreak="0">
    <w:nsid w:val="7CFE6830"/>
    <w:multiLevelType w:val="multilevel"/>
    <w:tmpl w:val="B114D4E8"/>
    <w:lvl w:ilvl="0">
      <w:start w:val="2"/>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494561260">
    <w:abstractNumId w:val="30"/>
  </w:num>
  <w:num w:numId="2" w16cid:durableId="1695305953">
    <w:abstractNumId w:val="53"/>
  </w:num>
  <w:num w:numId="3" w16cid:durableId="602954600">
    <w:abstractNumId w:val="36"/>
  </w:num>
  <w:num w:numId="4" w16cid:durableId="245768617">
    <w:abstractNumId w:val="27"/>
  </w:num>
  <w:num w:numId="5" w16cid:durableId="2001152800">
    <w:abstractNumId w:val="10"/>
  </w:num>
  <w:num w:numId="6" w16cid:durableId="1653485613">
    <w:abstractNumId w:val="47"/>
  </w:num>
  <w:num w:numId="7" w16cid:durableId="1183589346">
    <w:abstractNumId w:val="3"/>
  </w:num>
  <w:num w:numId="8" w16cid:durableId="224032410">
    <w:abstractNumId w:val="28"/>
  </w:num>
  <w:num w:numId="9" w16cid:durableId="1302462716">
    <w:abstractNumId w:val="25"/>
  </w:num>
  <w:num w:numId="10" w16cid:durableId="530732081">
    <w:abstractNumId w:val="21"/>
  </w:num>
  <w:num w:numId="11" w16cid:durableId="2116443311">
    <w:abstractNumId w:val="55"/>
  </w:num>
  <w:num w:numId="12" w16cid:durableId="10230188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3"/>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43"/>
  </w:num>
  <w:num w:numId="16" w16cid:durableId="2094928861">
    <w:abstractNumId w:val="17"/>
  </w:num>
  <w:num w:numId="17" w16cid:durableId="1985038312">
    <w:abstractNumId w:val="24"/>
  </w:num>
  <w:num w:numId="18" w16cid:durableId="1038970911">
    <w:abstractNumId w:val="9"/>
  </w:num>
  <w:num w:numId="19" w16cid:durableId="568030890">
    <w:abstractNumId w:val="14"/>
  </w:num>
  <w:num w:numId="20" w16cid:durableId="1158308902">
    <w:abstractNumId w:val="33"/>
  </w:num>
  <w:num w:numId="21" w16cid:durableId="1067341544">
    <w:abstractNumId w:val="37"/>
  </w:num>
  <w:num w:numId="22" w16cid:durableId="1272282964">
    <w:abstractNumId w:val="31"/>
  </w:num>
  <w:num w:numId="23" w16cid:durableId="133181899">
    <w:abstractNumId w:val="40"/>
  </w:num>
  <w:num w:numId="24" w16cid:durableId="131144016">
    <w:abstractNumId w:val="39"/>
  </w:num>
  <w:num w:numId="25" w16cid:durableId="1436365768">
    <w:abstractNumId w:val="15"/>
  </w:num>
  <w:num w:numId="26" w16cid:durableId="1430127359">
    <w:abstractNumId w:val="18"/>
  </w:num>
  <w:num w:numId="27" w16cid:durableId="1411077640">
    <w:abstractNumId w:val="38"/>
  </w:num>
  <w:num w:numId="28" w16cid:durableId="2118451366">
    <w:abstractNumId w:val="4"/>
  </w:num>
  <w:num w:numId="29" w16cid:durableId="1879585726">
    <w:abstractNumId w:val="49"/>
  </w:num>
  <w:num w:numId="30" w16cid:durableId="1346439416">
    <w:abstractNumId w:val="45"/>
  </w:num>
  <w:num w:numId="31" w16cid:durableId="1855653204">
    <w:abstractNumId w:val="1"/>
  </w:num>
  <w:num w:numId="32" w16cid:durableId="2035884383">
    <w:abstractNumId w:val="0"/>
  </w:num>
  <w:num w:numId="33" w16cid:durableId="1859001621">
    <w:abstractNumId w:val="44"/>
  </w:num>
  <w:num w:numId="34" w16cid:durableId="1301958134">
    <w:abstractNumId w:val="11"/>
  </w:num>
  <w:num w:numId="35" w16cid:durableId="1578634167">
    <w:abstractNumId w:val="48"/>
  </w:num>
  <w:num w:numId="36" w16cid:durableId="1324242288">
    <w:abstractNumId w:val="7"/>
  </w:num>
  <w:num w:numId="37" w16cid:durableId="2112889307">
    <w:abstractNumId w:val="5"/>
  </w:num>
  <w:num w:numId="38" w16cid:durableId="1877351409">
    <w:abstractNumId w:val="16"/>
  </w:num>
  <w:num w:numId="39" w16cid:durableId="774177033">
    <w:abstractNumId w:val="20"/>
  </w:num>
  <w:num w:numId="40" w16cid:durableId="1902671776">
    <w:abstractNumId w:val="52"/>
  </w:num>
  <w:num w:numId="41" w16cid:durableId="1225408082">
    <w:abstractNumId w:val="19"/>
  </w:num>
  <w:num w:numId="42" w16cid:durableId="511721776">
    <w:abstractNumId w:val="2"/>
  </w:num>
  <w:num w:numId="43" w16cid:durableId="1941065043">
    <w:abstractNumId w:val="22"/>
  </w:num>
  <w:num w:numId="44" w16cid:durableId="1075082322">
    <w:abstractNumId w:val="56"/>
  </w:num>
  <w:num w:numId="45" w16cid:durableId="743113815">
    <w:abstractNumId w:val="41"/>
  </w:num>
  <w:num w:numId="46" w16cid:durableId="1224877997">
    <w:abstractNumId w:val="46"/>
    <w:lvlOverride w:ilvl="0">
      <w:startOverride w:val="1"/>
    </w:lvlOverride>
    <w:lvlOverride w:ilvl="1"/>
    <w:lvlOverride w:ilvl="2"/>
    <w:lvlOverride w:ilvl="3"/>
    <w:lvlOverride w:ilvl="4"/>
    <w:lvlOverride w:ilvl="5"/>
    <w:lvlOverride w:ilvl="6"/>
    <w:lvlOverride w:ilvl="7"/>
    <w:lvlOverride w:ilvl="8"/>
  </w:num>
  <w:num w:numId="47" w16cid:durableId="277640429">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5843235">
    <w:abstractNumId w:val="51"/>
    <w:lvlOverride w:ilvl="0">
      <w:startOverride w:val="12"/>
    </w:lvlOverride>
    <w:lvlOverride w:ilvl="1">
      <w:startOverride w:val="2"/>
    </w:lvlOverride>
    <w:lvlOverride w:ilvl="2">
      <w:startOverride w:val="7"/>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5642106">
    <w:abstractNumId w:val="42"/>
    <w:lvlOverride w:ilvl="0">
      <w:startOverride w:val="12"/>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4159076">
    <w:abstractNumId w:val="3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7630670">
    <w:abstractNumId w:val="6"/>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460458">
    <w:abstractNumId w:val="5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63252463">
    <w:abstractNumId w:val="54"/>
  </w:num>
  <w:num w:numId="54" w16cid:durableId="2133480473">
    <w:abstractNumId w:val="12"/>
  </w:num>
  <w:num w:numId="55" w16cid:durableId="1857303051">
    <w:abstractNumId w:val="29"/>
  </w:num>
  <w:num w:numId="56" w16cid:durableId="1843818912">
    <w:abstractNumId w:val="35"/>
  </w:num>
  <w:num w:numId="57" w16cid:durableId="1758018291">
    <w:abstractNumId w:val="26"/>
  </w:num>
  <w:num w:numId="58" w16cid:durableId="665668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57281"/>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3740"/>
    <w:rsid w:val="000B53C5"/>
    <w:rsid w:val="000B74F3"/>
    <w:rsid w:val="000C0975"/>
    <w:rsid w:val="000C187F"/>
    <w:rsid w:val="000C40B2"/>
    <w:rsid w:val="000D19FC"/>
    <w:rsid w:val="000D347A"/>
    <w:rsid w:val="000D3E29"/>
    <w:rsid w:val="000E1DAC"/>
    <w:rsid w:val="000E3F6F"/>
    <w:rsid w:val="000E44CE"/>
    <w:rsid w:val="000E45B4"/>
    <w:rsid w:val="000E7BDD"/>
    <w:rsid w:val="000F0E3A"/>
    <w:rsid w:val="000F33EC"/>
    <w:rsid w:val="000F3626"/>
    <w:rsid w:val="000F48F1"/>
    <w:rsid w:val="000F653C"/>
    <w:rsid w:val="000F74BC"/>
    <w:rsid w:val="000F7A4C"/>
    <w:rsid w:val="0010060A"/>
    <w:rsid w:val="001012E8"/>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38A"/>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2504"/>
    <w:rsid w:val="001E5659"/>
    <w:rsid w:val="001E6B44"/>
    <w:rsid w:val="001F376E"/>
    <w:rsid w:val="00202144"/>
    <w:rsid w:val="00202DD8"/>
    <w:rsid w:val="00211B12"/>
    <w:rsid w:val="0021358C"/>
    <w:rsid w:val="00213E96"/>
    <w:rsid w:val="0021460E"/>
    <w:rsid w:val="002175C6"/>
    <w:rsid w:val="00220638"/>
    <w:rsid w:val="002352CC"/>
    <w:rsid w:val="00237776"/>
    <w:rsid w:val="0023791A"/>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C7560"/>
    <w:rsid w:val="002D4129"/>
    <w:rsid w:val="002D5000"/>
    <w:rsid w:val="002D74EC"/>
    <w:rsid w:val="002D7AE4"/>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273C5"/>
    <w:rsid w:val="00330172"/>
    <w:rsid w:val="003327D0"/>
    <w:rsid w:val="00332B37"/>
    <w:rsid w:val="00333696"/>
    <w:rsid w:val="003404D3"/>
    <w:rsid w:val="00340E6C"/>
    <w:rsid w:val="00346C42"/>
    <w:rsid w:val="00347B99"/>
    <w:rsid w:val="00350A92"/>
    <w:rsid w:val="00353107"/>
    <w:rsid w:val="00353789"/>
    <w:rsid w:val="00355E3A"/>
    <w:rsid w:val="00356764"/>
    <w:rsid w:val="00357D43"/>
    <w:rsid w:val="00360CB2"/>
    <w:rsid w:val="003616B8"/>
    <w:rsid w:val="00370958"/>
    <w:rsid w:val="003734C7"/>
    <w:rsid w:val="00382E42"/>
    <w:rsid w:val="003838E7"/>
    <w:rsid w:val="00383E6E"/>
    <w:rsid w:val="00383FA0"/>
    <w:rsid w:val="0038749C"/>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02D3"/>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2BA7"/>
    <w:rsid w:val="004B7C24"/>
    <w:rsid w:val="004C0070"/>
    <w:rsid w:val="004C0B9A"/>
    <w:rsid w:val="004C2AF8"/>
    <w:rsid w:val="004C308A"/>
    <w:rsid w:val="004D3E0F"/>
    <w:rsid w:val="004D7676"/>
    <w:rsid w:val="004E2574"/>
    <w:rsid w:val="004E523F"/>
    <w:rsid w:val="004F0311"/>
    <w:rsid w:val="004F25F1"/>
    <w:rsid w:val="004F65C9"/>
    <w:rsid w:val="004F6F63"/>
    <w:rsid w:val="004F731B"/>
    <w:rsid w:val="00501CD8"/>
    <w:rsid w:val="0050239B"/>
    <w:rsid w:val="005051A4"/>
    <w:rsid w:val="00507DB1"/>
    <w:rsid w:val="0051222D"/>
    <w:rsid w:val="005134FC"/>
    <w:rsid w:val="00515CD2"/>
    <w:rsid w:val="00516BF8"/>
    <w:rsid w:val="00517468"/>
    <w:rsid w:val="005204AF"/>
    <w:rsid w:val="005237F5"/>
    <w:rsid w:val="00530A36"/>
    <w:rsid w:val="00532835"/>
    <w:rsid w:val="005339F5"/>
    <w:rsid w:val="00535D93"/>
    <w:rsid w:val="005400B1"/>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361AC"/>
    <w:rsid w:val="00641B1F"/>
    <w:rsid w:val="00641BA7"/>
    <w:rsid w:val="00645B8F"/>
    <w:rsid w:val="0066238B"/>
    <w:rsid w:val="00662D5D"/>
    <w:rsid w:val="006634AC"/>
    <w:rsid w:val="00664819"/>
    <w:rsid w:val="006649DA"/>
    <w:rsid w:val="00664DE6"/>
    <w:rsid w:val="006672D4"/>
    <w:rsid w:val="00667DCB"/>
    <w:rsid w:val="00670017"/>
    <w:rsid w:val="006708A0"/>
    <w:rsid w:val="00683F2A"/>
    <w:rsid w:val="006866AD"/>
    <w:rsid w:val="00691841"/>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1FB7"/>
    <w:rsid w:val="006D6BD5"/>
    <w:rsid w:val="006D732A"/>
    <w:rsid w:val="006E45D4"/>
    <w:rsid w:val="006E708C"/>
    <w:rsid w:val="006F08D3"/>
    <w:rsid w:val="006F45DC"/>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97853"/>
    <w:rsid w:val="007A5B45"/>
    <w:rsid w:val="007B0F32"/>
    <w:rsid w:val="007B19A1"/>
    <w:rsid w:val="007B297B"/>
    <w:rsid w:val="007B5B42"/>
    <w:rsid w:val="007B67C5"/>
    <w:rsid w:val="007B6C54"/>
    <w:rsid w:val="007B7537"/>
    <w:rsid w:val="007C427C"/>
    <w:rsid w:val="007D003A"/>
    <w:rsid w:val="007D3A09"/>
    <w:rsid w:val="007D5114"/>
    <w:rsid w:val="007D5405"/>
    <w:rsid w:val="007E0D35"/>
    <w:rsid w:val="007E2ED8"/>
    <w:rsid w:val="007E3281"/>
    <w:rsid w:val="007E3741"/>
    <w:rsid w:val="007E5D44"/>
    <w:rsid w:val="007E6761"/>
    <w:rsid w:val="007E6A0A"/>
    <w:rsid w:val="007F12B4"/>
    <w:rsid w:val="00800C12"/>
    <w:rsid w:val="00800E83"/>
    <w:rsid w:val="00802BAB"/>
    <w:rsid w:val="00802BAF"/>
    <w:rsid w:val="008033D6"/>
    <w:rsid w:val="008046D3"/>
    <w:rsid w:val="00806BC0"/>
    <w:rsid w:val="008070B1"/>
    <w:rsid w:val="00811458"/>
    <w:rsid w:val="0081487D"/>
    <w:rsid w:val="00815CF5"/>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578E7"/>
    <w:rsid w:val="0086267A"/>
    <w:rsid w:val="0086375C"/>
    <w:rsid w:val="0086402A"/>
    <w:rsid w:val="00864B3C"/>
    <w:rsid w:val="00864E03"/>
    <w:rsid w:val="00866F2E"/>
    <w:rsid w:val="00870846"/>
    <w:rsid w:val="00872405"/>
    <w:rsid w:val="008752B0"/>
    <w:rsid w:val="00875FF9"/>
    <w:rsid w:val="00880DC0"/>
    <w:rsid w:val="00883EA3"/>
    <w:rsid w:val="00884F8E"/>
    <w:rsid w:val="00885339"/>
    <w:rsid w:val="00891CB1"/>
    <w:rsid w:val="00891DEE"/>
    <w:rsid w:val="00895F01"/>
    <w:rsid w:val="008A436A"/>
    <w:rsid w:val="008A4436"/>
    <w:rsid w:val="008A4ACA"/>
    <w:rsid w:val="008B0192"/>
    <w:rsid w:val="008B0B24"/>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276B5"/>
    <w:rsid w:val="00A30CEF"/>
    <w:rsid w:val="00A31234"/>
    <w:rsid w:val="00A3343B"/>
    <w:rsid w:val="00A36129"/>
    <w:rsid w:val="00A40D93"/>
    <w:rsid w:val="00A4137B"/>
    <w:rsid w:val="00A4220A"/>
    <w:rsid w:val="00A42C15"/>
    <w:rsid w:val="00A43460"/>
    <w:rsid w:val="00A47AE6"/>
    <w:rsid w:val="00A47F82"/>
    <w:rsid w:val="00A47FFD"/>
    <w:rsid w:val="00A53205"/>
    <w:rsid w:val="00A55200"/>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5313"/>
    <w:rsid w:val="00AA6A2E"/>
    <w:rsid w:val="00AA7F5D"/>
    <w:rsid w:val="00AB321A"/>
    <w:rsid w:val="00AB37E0"/>
    <w:rsid w:val="00AB52B4"/>
    <w:rsid w:val="00AC13A6"/>
    <w:rsid w:val="00AC2E70"/>
    <w:rsid w:val="00AC5013"/>
    <w:rsid w:val="00AC59E0"/>
    <w:rsid w:val="00AD0F07"/>
    <w:rsid w:val="00AD1F08"/>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11BF"/>
    <w:rsid w:val="00B63888"/>
    <w:rsid w:val="00B639CA"/>
    <w:rsid w:val="00B64FD5"/>
    <w:rsid w:val="00B74995"/>
    <w:rsid w:val="00B74C8D"/>
    <w:rsid w:val="00B761F9"/>
    <w:rsid w:val="00B92851"/>
    <w:rsid w:val="00B949E8"/>
    <w:rsid w:val="00B9674F"/>
    <w:rsid w:val="00B9791A"/>
    <w:rsid w:val="00BA3FAC"/>
    <w:rsid w:val="00BA5712"/>
    <w:rsid w:val="00BA5C9F"/>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173CD"/>
    <w:rsid w:val="00C25279"/>
    <w:rsid w:val="00C30C66"/>
    <w:rsid w:val="00C32FD9"/>
    <w:rsid w:val="00C341FB"/>
    <w:rsid w:val="00C35EC9"/>
    <w:rsid w:val="00C360C2"/>
    <w:rsid w:val="00C4136A"/>
    <w:rsid w:val="00C41549"/>
    <w:rsid w:val="00C42CDB"/>
    <w:rsid w:val="00C43B09"/>
    <w:rsid w:val="00C443C8"/>
    <w:rsid w:val="00C448C3"/>
    <w:rsid w:val="00C44A05"/>
    <w:rsid w:val="00C45493"/>
    <w:rsid w:val="00C45C72"/>
    <w:rsid w:val="00C46C6A"/>
    <w:rsid w:val="00C51051"/>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0A15"/>
    <w:rsid w:val="00D32992"/>
    <w:rsid w:val="00D34BD8"/>
    <w:rsid w:val="00D3552E"/>
    <w:rsid w:val="00D36680"/>
    <w:rsid w:val="00D478AA"/>
    <w:rsid w:val="00D5153B"/>
    <w:rsid w:val="00D5206E"/>
    <w:rsid w:val="00D52829"/>
    <w:rsid w:val="00D5778C"/>
    <w:rsid w:val="00D6151D"/>
    <w:rsid w:val="00D61969"/>
    <w:rsid w:val="00D66850"/>
    <w:rsid w:val="00D675A7"/>
    <w:rsid w:val="00D677AB"/>
    <w:rsid w:val="00D727AC"/>
    <w:rsid w:val="00D742B7"/>
    <w:rsid w:val="00D77056"/>
    <w:rsid w:val="00D77C20"/>
    <w:rsid w:val="00D8020D"/>
    <w:rsid w:val="00D83407"/>
    <w:rsid w:val="00D864E9"/>
    <w:rsid w:val="00D86EB8"/>
    <w:rsid w:val="00D9271E"/>
    <w:rsid w:val="00D92E74"/>
    <w:rsid w:val="00D94714"/>
    <w:rsid w:val="00D94D1B"/>
    <w:rsid w:val="00D96A20"/>
    <w:rsid w:val="00DB4252"/>
    <w:rsid w:val="00DB5A85"/>
    <w:rsid w:val="00DC08EE"/>
    <w:rsid w:val="00DC1816"/>
    <w:rsid w:val="00DC23A5"/>
    <w:rsid w:val="00DC3736"/>
    <w:rsid w:val="00DC376A"/>
    <w:rsid w:val="00DC459A"/>
    <w:rsid w:val="00DD0BAE"/>
    <w:rsid w:val="00DD17B9"/>
    <w:rsid w:val="00DE14C5"/>
    <w:rsid w:val="00DE30C6"/>
    <w:rsid w:val="00DE3123"/>
    <w:rsid w:val="00DE466C"/>
    <w:rsid w:val="00DF2649"/>
    <w:rsid w:val="00DF33BE"/>
    <w:rsid w:val="00E05C6F"/>
    <w:rsid w:val="00E10FB0"/>
    <w:rsid w:val="00E1463D"/>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556C1"/>
    <w:rsid w:val="00E60ABC"/>
    <w:rsid w:val="00E62661"/>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58B6"/>
    <w:rsid w:val="00EB7601"/>
    <w:rsid w:val="00ED721F"/>
    <w:rsid w:val="00F02514"/>
    <w:rsid w:val="00F10138"/>
    <w:rsid w:val="00F1462E"/>
    <w:rsid w:val="00F14E93"/>
    <w:rsid w:val="00F152A1"/>
    <w:rsid w:val="00F26890"/>
    <w:rsid w:val="00F31794"/>
    <w:rsid w:val="00F31EE2"/>
    <w:rsid w:val="00F32BA5"/>
    <w:rsid w:val="00F35C90"/>
    <w:rsid w:val="00F37E7B"/>
    <w:rsid w:val="00F43CE2"/>
    <w:rsid w:val="00F46F39"/>
    <w:rsid w:val="00F4746B"/>
    <w:rsid w:val="00F50643"/>
    <w:rsid w:val="00F51627"/>
    <w:rsid w:val="00F55432"/>
    <w:rsid w:val="00F56A4C"/>
    <w:rsid w:val="00F6197E"/>
    <w:rsid w:val="00F62EE1"/>
    <w:rsid w:val="00F644CD"/>
    <w:rsid w:val="00F657E2"/>
    <w:rsid w:val="00F73638"/>
    <w:rsid w:val="00F73FC7"/>
    <w:rsid w:val="00F74B37"/>
    <w:rsid w:val="00F87E1E"/>
    <w:rsid w:val="00F92780"/>
    <w:rsid w:val="00F972E8"/>
    <w:rsid w:val="00FA14FB"/>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095"/>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FF509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semiHidden/>
    <w:unhideWhenUsed/>
    <w:qFormat/>
    <w:rsid w:val="004302D3"/>
    <w:pPr>
      <w:widowControl w:val="0"/>
      <w:autoSpaceDE w:val="0"/>
      <w:autoSpaceDN w:val="0"/>
      <w:spacing w:after="0" w:line="240" w:lineRule="auto"/>
      <w:ind w:left="135" w:firstLine="0"/>
      <w:contextualSpacing w:val="0"/>
    </w:pPr>
    <w:rPr>
      <w:rFonts w:eastAsia="Arial"/>
      <w:color w:val="auto"/>
      <w:kern w:val="0"/>
      <w:lang w:val="pt-PT"/>
    </w:rPr>
  </w:style>
  <w:style w:type="character" w:customStyle="1" w:styleId="CorpodetextoChar">
    <w:name w:val="Corpo de texto Char"/>
    <w:basedOn w:val="Fontepargpadro"/>
    <w:link w:val="Corpodetexto"/>
    <w:uiPriority w:val="1"/>
    <w:semiHidden/>
    <w:rsid w:val="004302D3"/>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36757">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29434982">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1429266">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9757139">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82429086">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63722372">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7060334">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hamados@ro.sebrae.com.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44</Pages>
  <Words>13667</Words>
  <Characters>73807</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2024-10-24T12:33:00Z</dcterms:created>
  <dcterms:modified xsi:type="dcterms:W3CDTF">2024-10-24T12:33:00Z</dcterms:modified>
</cp:coreProperties>
</file>